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EB0D3">
      <w:pPr>
        <w:keepNext w:val="0"/>
        <w:keepLines w:val="0"/>
        <w:pageBreakBefore w:val="0"/>
        <w:kinsoku/>
        <w:wordWrap/>
        <w:overflowPunct/>
        <w:topLinePunct w:val="0"/>
        <w:autoSpaceDE/>
        <w:autoSpaceDN/>
        <w:bidi w:val="0"/>
        <w:adjustRightInd/>
        <w:spacing w:before="0" w:after="0" w:line="580" w:lineRule="exact"/>
        <w:jc w:val="center"/>
        <w:textAlignment w:val="auto"/>
        <w:rPr>
          <w:rFonts w:ascii="方正小标宋简体" w:hAnsi="方正小标宋简体" w:eastAsia="方正小标宋简体" w:cs="方正小标宋简体"/>
          <w:b w:val="0"/>
          <w:bCs w:val="0"/>
          <w:sz w:val="44"/>
          <w:szCs w:val="44"/>
        </w:rPr>
      </w:pPr>
      <w:bookmarkStart w:id="0" w:name="_GoBack"/>
      <w:r>
        <w:rPr>
          <w:rFonts w:ascii="方正小标宋简体" w:hAnsi="方正小标宋简体" w:eastAsia="方正小标宋简体" w:cs="方正小标宋简体"/>
          <w:b w:val="0"/>
          <w:bCs w:val="0"/>
          <w:sz w:val="44"/>
          <w:szCs w:val="44"/>
        </w:rPr>
        <w:t>苏州市新型文化空间焕新培育工作指引</w:t>
      </w:r>
    </w:p>
    <w:bookmarkEnd w:id="0"/>
    <w:p w14:paraId="36802152">
      <w:pPr>
        <w:keepNext w:val="0"/>
        <w:keepLines w:val="0"/>
        <w:pageBreakBefore w:val="0"/>
        <w:kinsoku/>
        <w:wordWrap/>
        <w:overflowPunct/>
        <w:topLinePunct w:val="0"/>
        <w:autoSpaceDE/>
        <w:autoSpaceDN/>
        <w:bidi w:val="0"/>
        <w:adjustRightInd/>
        <w:spacing w:before="0" w:after="0" w:line="580" w:lineRule="exact"/>
        <w:jc w:val="center"/>
        <w:textAlignment w:val="auto"/>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（征求意见稿）</w:t>
      </w:r>
    </w:p>
    <w:p w14:paraId="79C52170">
      <w:pPr>
        <w:keepNext w:val="0"/>
        <w:keepLines w:val="0"/>
        <w:pageBreakBefore w:val="0"/>
        <w:kinsoku/>
        <w:wordWrap/>
        <w:overflowPunct/>
        <w:topLinePunct w:val="0"/>
        <w:autoSpaceDE/>
        <w:autoSpaceDN/>
        <w:bidi w:val="0"/>
        <w:adjustRightInd/>
        <w:spacing w:before="0" w:after="0" w:line="580" w:lineRule="exact"/>
        <w:textAlignment w:val="auto"/>
        <w:rPr>
          <w:sz w:val="32"/>
          <w:szCs w:val="32"/>
        </w:rPr>
      </w:pPr>
    </w:p>
    <w:p w14:paraId="339F36E0">
      <w:pPr>
        <w:keepNext w:val="0"/>
        <w:keepLines w:val="0"/>
        <w:pageBreakBefore w:val="0"/>
        <w:kinsoku/>
        <w:wordWrap/>
        <w:overflowPunct/>
        <w:topLinePunct w:val="0"/>
        <w:autoSpaceDE/>
        <w:autoSpaceDN/>
        <w:bidi w:val="0"/>
        <w:adjustRightInd/>
        <w:spacing w:before="0" w:after="0" w:line="580" w:lineRule="exact"/>
        <w:jc w:val="center"/>
        <w:textAlignment w:val="auto"/>
        <w:rPr>
          <w:sz w:val="32"/>
          <w:szCs w:val="32"/>
        </w:rPr>
      </w:pPr>
      <w:r>
        <w:rPr>
          <w:rFonts w:ascii="黑体" w:hAnsi="黑体" w:eastAsia="黑体" w:cs="黑体"/>
          <w:b/>
          <w:bCs/>
          <w:sz w:val="32"/>
          <w:szCs w:val="32"/>
        </w:rPr>
        <w:t>第一章  总  则</w:t>
      </w:r>
    </w:p>
    <w:p w14:paraId="1ED42921">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ascii="仿宋_GB2312" w:hAnsi="仿宋_GB2312" w:eastAsia="仿宋_GB2312" w:cs="仿宋_GB2312"/>
          <w:sz w:val="32"/>
          <w:szCs w:val="32"/>
        </w:rPr>
      </w:pPr>
      <w:r>
        <w:rPr>
          <w:rFonts w:ascii="黑体" w:hAnsi="黑体" w:eastAsia="黑体" w:cs="黑体"/>
          <w:b w:val="0"/>
          <w:bCs w:val="0"/>
          <w:sz w:val="32"/>
          <w:szCs w:val="32"/>
        </w:rPr>
        <w:t xml:space="preserve">第一条  </w:t>
      </w:r>
      <w:r>
        <w:rPr>
          <w:rFonts w:hint="eastAsia" w:ascii="仿宋_GB2312" w:hAnsi="仿宋_GB2312" w:eastAsia="仿宋_GB2312" w:cs="仿宋_GB2312"/>
          <w:b w:val="0"/>
          <w:bCs w:val="0"/>
          <w:sz w:val="32"/>
          <w:szCs w:val="32"/>
        </w:rPr>
        <w:t>为深入学习践行习近平文化思想，贯彻落实“十五五”规划纲要部署要求</w:t>
      </w:r>
      <w:r>
        <w:rPr>
          <w:rFonts w:hint="eastAsia" w:ascii="仿宋_GB2312" w:hAnsi="仿宋_GB2312" w:eastAsia="仿宋_GB2312" w:cs="仿宋_GB2312"/>
          <w:b w:val="0"/>
          <w:bCs w:val="0"/>
          <w:sz w:val="32"/>
          <w:szCs w:val="32"/>
          <w:lang w:eastAsia="zh-CN"/>
        </w:rPr>
        <w:t>和省文旅厅《公共文化新空间提升指引》具体要求</w:t>
      </w:r>
      <w:r>
        <w:rPr>
          <w:rFonts w:hint="eastAsia" w:ascii="仿宋_GB2312" w:hAnsi="仿宋_GB2312" w:eastAsia="仿宋_GB2312" w:cs="仿宋_GB2312"/>
          <w:b w:val="0"/>
          <w:bCs w:val="0"/>
          <w:sz w:val="32"/>
          <w:szCs w:val="32"/>
        </w:rPr>
        <w:t>，</w:t>
      </w:r>
      <w:r>
        <w:rPr>
          <w:rFonts w:hint="eastAsia" w:cs="仿宋_GB2312"/>
          <w:b w:val="0"/>
          <w:bCs w:val="0"/>
          <w:sz w:val="32"/>
          <w:szCs w:val="32"/>
          <w:lang w:eastAsia="zh-CN"/>
        </w:rPr>
        <w:t>引领</w:t>
      </w:r>
      <w:r>
        <w:rPr>
          <w:rFonts w:hint="eastAsia" w:ascii="仿宋_GB2312" w:hAnsi="仿宋_GB2312" w:eastAsia="仿宋_GB2312" w:cs="仿宋_GB2312"/>
          <w:b w:val="0"/>
          <w:bCs w:val="0"/>
          <w:sz w:val="32"/>
          <w:szCs w:val="32"/>
        </w:rPr>
        <w:t>苏州市新型文化空间建设，更好承载优质文化资源、拓展文化消费场景，深入赋能“文旅+百业”，使之成为</w:t>
      </w:r>
      <w:r>
        <w:rPr>
          <w:rFonts w:hint="eastAsia" w:ascii="仿宋_GB2312" w:hAnsi="仿宋_GB2312" w:eastAsia="仿宋_GB2312" w:cs="仿宋_GB2312"/>
          <w:b w:val="0"/>
          <w:bCs w:val="0"/>
          <w:sz w:val="32"/>
          <w:szCs w:val="32"/>
          <w:lang w:eastAsia="zh-CN"/>
        </w:rPr>
        <w:t>赓续城市</w:t>
      </w:r>
      <w:r>
        <w:rPr>
          <w:rFonts w:hint="eastAsia" w:ascii="仿宋_GB2312" w:hAnsi="仿宋_GB2312" w:eastAsia="仿宋_GB2312" w:cs="仿宋_GB2312"/>
          <w:b w:val="0"/>
          <w:bCs w:val="0"/>
          <w:sz w:val="32"/>
          <w:szCs w:val="32"/>
        </w:rPr>
        <w:t>文脉、</w:t>
      </w:r>
      <w:r>
        <w:rPr>
          <w:rFonts w:hint="eastAsia" w:ascii="仿宋_GB2312" w:hAnsi="仿宋_GB2312" w:eastAsia="仿宋_GB2312" w:cs="仿宋_GB2312"/>
          <w:b w:val="0"/>
          <w:bCs w:val="0"/>
          <w:sz w:val="32"/>
          <w:szCs w:val="32"/>
          <w:lang w:eastAsia="zh-CN"/>
        </w:rPr>
        <w:t>传播江南文化</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赋美人民生活</w:t>
      </w:r>
      <w:r>
        <w:rPr>
          <w:rFonts w:hint="eastAsia" w:ascii="仿宋_GB2312" w:hAnsi="仿宋_GB2312" w:eastAsia="仿宋_GB2312" w:cs="仿宋_GB2312"/>
          <w:b w:val="0"/>
          <w:bCs w:val="0"/>
          <w:sz w:val="32"/>
          <w:szCs w:val="32"/>
        </w:rPr>
        <w:t>的重要载体，</w:t>
      </w:r>
      <w:r>
        <w:rPr>
          <w:rFonts w:hint="eastAsia" w:cs="仿宋_GB2312"/>
          <w:b w:val="0"/>
          <w:bCs w:val="0"/>
          <w:sz w:val="32"/>
          <w:szCs w:val="32"/>
          <w:lang w:eastAsia="zh-CN"/>
        </w:rPr>
        <w:t>特</w:t>
      </w:r>
      <w:r>
        <w:rPr>
          <w:rFonts w:hint="eastAsia" w:ascii="仿宋_GB2312" w:hAnsi="仿宋_GB2312" w:eastAsia="仿宋_GB2312" w:cs="仿宋_GB2312"/>
          <w:b w:val="0"/>
          <w:bCs w:val="0"/>
          <w:sz w:val="32"/>
          <w:szCs w:val="32"/>
        </w:rPr>
        <w:t>制定本</w:t>
      </w:r>
      <w:r>
        <w:rPr>
          <w:rFonts w:hint="eastAsia" w:cs="仿宋_GB2312"/>
          <w:b w:val="0"/>
          <w:bCs w:val="0"/>
          <w:sz w:val="32"/>
          <w:szCs w:val="32"/>
          <w:lang w:eastAsia="zh-CN"/>
        </w:rPr>
        <w:t>项</w:t>
      </w:r>
      <w:r>
        <w:rPr>
          <w:rFonts w:hint="eastAsia" w:ascii="仿宋_GB2312" w:hAnsi="仿宋_GB2312" w:eastAsia="仿宋_GB2312" w:cs="仿宋_GB2312"/>
          <w:b w:val="0"/>
          <w:bCs w:val="0"/>
          <w:sz w:val="32"/>
          <w:szCs w:val="32"/>
        </w:rPr>
        <w:t>工作指引。</w:t>
      </w:r>
    </w:p>
    <w:p w14:paraId="17BBCF4A">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ascii="仿宋_GB2312" w:hAnsi="仿宋_GB2312" w:eastAsia="仿宋_GB2312" w:cs="仿宋_GB2312"/>
          <w:b w:val="0"/>
          <w:bCs w:val="0"/>
          <w:sz w:val="32"/>
          <w:szCs w:val="32"/>
          <w:lang w:eastAsia="zh-CN"/>
        </w:rPr>
      </w:pPr>
      <w:r>
        <w:rPr>
          <w:rFonts w:ascii="黑体" w:hAnsi="黑体" w:eastAsia="黑体" w:cs="黑体"/>
          <w:b w:val="0"/>
          <w:bCs w:val="0"/>
          <w:sz w:val="32"/>
          <w:szCs w:val="32"/>
        </w:rPr>
        <w:t xml:space="preserve">第二条  </w:t>
      </w:r>
      <w:r>
        <w:rPr>
          <w:rFonts w:hint="eastAsia" w:ascii="仿宋_GB2312" w:hAnsi="仿宋_GB2312" w:eastAsia="仿宋_GB2312" w:cs="仿宋_GB2312"/>
          <w:b w:val="0"/>
          <w:bCs w:val="0"/>
          <w:sz w:val="32"/>
          <w:szCs w:val="32"/>
        </w:rPr>
        <w:t>本指引所称新型文化空间，是指</w:t>
      </w:r>
      <w:r>
        <w:rPr>
          <w:rFonts w:hint="eastAsia" w:cs="仿宋_GB2312"/>
          <w:b w:val="0"/>
          <w:bCs w:val="0"/>
          <w:sz w:val="32"/>
          <w:szCs w:val="32"/>
          <w:lang w:eastAsia="zh-CN"/>
        </w:rPr>
        <w:t>适应</w:t>
      </w:r>
      <w:r>
        <w:rPr>
          <w:rFonts w:hint="eastAsia" w:ascii="仿宋_GB2312" w:hAnsi="仿宋_GB2312" w:eastAsia="仿宋_GB2312" w:cs="仿宋_GB2312"/>
          <w:b w:val="0"/>
          <w:bCs w:val="0"/>
          <w:sz w:val="32"/>
          <w:szCs w:val="32"/>
        </w:rPr>
        <w:t>国际化现代化人民城市建设任务</w:t>
      </w:r>
      <w:r>
        <w:rPr>
          <w:rFonts w:hint="eastAsia" w:cs="仿宋_GB2312"/>
          <w:b w:val="0"/>
          <w:bCs w:val="0"/>
          <w:sz w:val="32"/>
          <w:szCs w:val="32"/>
          <w:lang w:eastAsia="zh-CN"/>
        </w:rPr>
        <w:t>，着眼满足人民日益增长的美好生活需要，</w:t>
      </w:r>
      <w:r>
        <w:rPr>
          <w:rFonts w:hint="eastAsia" w:ascii="仿宋_GB2312" w:hAnsi="仿宋_GB2312" w:eastAsia="仿宋_GB2312" w:cs="仿宋_GB2312"/>
          <w:b w:val="0"/>
          <w:bCs w:val="0"/>
          <w:sz w:val="32"/>
          <w:szCs w:val="32"/>
        </w:rPr>
        <w:t>按照规模适当、功能完备、</w:t>
      </w:r>
      <w:r>
        <w:rPr>
          <w:rFonts w:hint="eastAsia" w:cs="仿宋_GB2312"/>
          <w:b w:val="0"/>
          <w:bCs w:val="0"/>
          <w:sz w:val="32"/>
          <w:szCs w:val="32"/>
          <w:lang w:eastAsia="zh-CN"/>
        </w:rPr>
        <w:t>融合多元、</w:t>
      </w:r>
      <w:r>
        <w:rPr>
          <w:rFonts w:hint="eastAsia" w:ascii="仿宋_GB2312" w:hAnsi="仿宋_GB2312" w:eastAsia="仿宋_GB2312" w:cs="仿宋_GB2312"/>
          <w:b w:val="0"/>
          <w:bCs w:val="0"/>
          <w:sz w:val="32"/>
          <w:szCs w:val="32"/>
        </w:rPr>
        <w:t>服务高效理念，嵌入城乡</w:t>
      </w:r>
      <w:r>
        <w:rPr>
          <w:rFonts w:hint="eastAsia" w:cs="仿宋_GB2312"/>
          <w:b w:val="0"/>
          <w:bCs w:val="0"/>
          <w:sz w:val="32"/>
          <w:szCs w:val="32"/>
          <w:lang w:eastAsia="zh-CN"/>
        </w:rPr>
        <w:t>肌理</w:t>
      </w:r>
      <w:r>
        <w:rPr>
          <w:rFonts w:hint="eastAsia" w:ascii="仿宋_GB2312" w:hAnsi="仿宋_GB2312" w:eastAsia="仿宋_GB2312" w:cs="仿宋_GB2312"/>
          <w:b w:val="0"/>
          <w:bCs w:val="0"/>
          <w:sz w:val="32"/>
          <w:szCs w:val="32"/>
        </w:rPr>
        <w:t>、融入百姓生活，常态化提供公共文化服务、助力消费场景打造的</w:t>
      </w:r>
      <w:r>
        <w:rPr>
          <w:rFonts w:hint="eastAsia" w:cs="仿宋_GB2312"/>
          <w:b w:val="0"/>
          <w:bCs w:val="0"/>
          <w:sz w:val="32"/>
          <w:szCs w:val="32"/>
          <w:lang w:eastAsia="zh-CN"/>
        </w:rPr>
        <w:t>各类</w:t>
      </w:r>
      <w:r>
        <w:rPr>
          <w:rFonts w:hint="eastAsia" w:ascii="仿宋_GB2312" w:hAnsi="仿宋_GB2312" w:eastAsia="仿宋_GB2312" w:cs="仿宋_GB2312"/>
          <w:b w:val="0"/>
          <w:bCs w:val="0"/>
          <w:sz w:val="32"/>
          <w:szCs w:val="32"/>
        </w:rPr>
        <w:t>“小而美</w:t>
      </w:r>
      <w:r>
        <w:rPr>
          <w:rFonts w:hint="eastAsia" w:cs="仿宋_GB2312"/>
          <w:b w:val="0"/>
          <w:bCs w:val="0"/>
          <w:sz w:val="32"/>
          <w:szCs w:val="32"/>
          <w:lang w:eastAsia="zh-CN"/>
        </w:rPr>
        <w:t>”“</w:t>
      </w:r>
      <w:r>
        <w:rPr>
          <w:rFonts w:hint="eastAsia" w:ascii="仿宋_GB2312" w:hAnsi="仿宋_GB2312" w:eastAsia="仿宋_GB2312" w:cs="仿宋_GB2312"/>
          <w:b w:val="0"/>
          <w:bCs w:val="0"/>
          <w:sz w:val="32"/>
          <w:szCs w:val="32"/>
        </w:rPr>
        <w:t>在身边”基层设施</w:t>
      </w:r>
      <w:r>
        <w:rPr>
          <w:rFonts w:hint="eastAsia" w:ascii="仿宋_GB2312" w:hAnsi="仿宋_GB2312" w:eastAsia="仿宋_GB2312" w:cs="仿宋_GB2312"/>
          <w:b w:val="0"/>
          <w:bCs w:val="0"/>
          <w:sz w:val="32"/>
          <w:szCs w:val="32"/>
          <w:lang w:val="en-US" w:eastAsia="zh-CN"/>
        </w:rPr>
        <w:t>，</w:t>
      </w:r>
      <w:r>
        <w:rPr>
          <w:rFonts w:hint="eastAsia" w:cs="仿宋_GB2312"/>
          <w:b w:val="0"/>
          <w:bCs w:val="0"/>
          <w:sz w:val="32"/>
          <w:szCs w:val="32"/>
          <w:lang w:eastAsia="zh-CN"/>
        </w:rPr>
        <w:t>以及</w:t>
      </w:r>
      <w:r>
        <w:rPr>
          <w:rFonts w:hint="eastAsia" w:ascii="仿宋_GB2312" w:hAnsi="仿宋_GB2312" w:eastAsia="仿宋_GB2312" w:cs="仿宋_GB2312"/>
          <w:b w:val="0"/>
          <w:bCs w:val="0"/>
          <w:sz w:val="32"/>
          <w:szCs w:val="32"/>
        </w:rPr>
        <w:t>“无边界</w:t>
      </w:r>
      <w:r>
        <w:rPr>
          <w:rFonts w:hint="eastAsia" w:cs="仿宋_GB2312"/>
          <w:b w:val="0"/>
          <w:bCs w:val="0"/>
          <w:sz w:val="32"/>
          <w:szCs w:val="32"/>
          <w:lang w:eastAsia="zh-CN"/>
        </w:rPr>
        <w:t>”“</w:t>
      </w:r>
      <w:r>
        <w:rPr>
          <w:rFonts w:hint="eastAsia" w:ascii="仿宋_GB2312" w:hAnsi="仿宋_GB2312" w:eastAsia="仿宋_GB2312" w:cs="仿宋_GB2312"/>
          <w:b w:val="0"/>
          <w:bCs w:val="0"/>
          <w:sz w:val="32"/>
          <w:szCs w:val="32"/>
        </w:rPr>
        <w:t>聚人气”</w:t>
      </w:r>
      <w:r>
        <w:rPr>
          <w:rFonts w:hint="eastAsia" w:cs="仿宋_GB2312"/>
          <w:b w:val="0"/>
          <w:bCs w:val="0"/>
          <w:sz w:val="32"/>
          <w:szCs w:val="32"/>
          <w:lang w:eastAsia="zh-CN"/>
        </w:rPr>
        <w:t>户外</w:t>
      </w:r>
      <w:r>
        <w:rPr>
          <w:rFonts w:hint="eastAsia" w:ascii="仿宋_GB2312" w:hAnsi="仿宋_GB2312" w:eastAsia="仿宋_GB2312" w:cs="仿宋_GB2312"/>
          <w:b w:val="0"/>
          <w:bCs w:val="0"/>
          <w:sz w:val="32"/>
          <w:szCs w:val="32"/>
        </w:rPr>
        <w:t>空间。</w:t>
      </w:r>
    </w:p>
    <w:p w14:paraId="03939253">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ascii="仿宋_GB2312" w:hAnsi="仿宋_GB2312" w:eastAsia="仿宋_GB2312" w:cs="仿宋_GB2312"/>
          <w:b w:val="0"/>
          <w:bCs w:val="0"/>
          <w:sz w:val="32"/>
          <w:szCs w:val="32"/>
        </w:rPr>
      </w:pPr>
      <w:r>
        <w:rPr>
          <w:rFonts w:ascii="黑体" w:hAnsi="黑体" w:eastAsia="黑体" w:cs="黑体"/>
          <w:b w:val="0"/>
          <w:bCs w:val="0"/>
          <w:sz w:val="32"/>
          <w:szCs w:val="32"/>
        </w:rPr>
        <w:t xml:space="preserve">第三条  </w:t>
      </w:r>
      <w:r>
        <w:rPr>
          <w:rFonts w:hint="eastAsia" w:ascii="仿宋_GB2312" w:hAnsi="仿宋_GB2312" w:eastAsia="仿宋_GB2312" w:cs="仿宋_GB2312"/>
          <w:b w:val="0"/>
          <w:bCs w:val="0"/>
          <w:sz w:val="32"/>
          <w:szCs w:val="32"/>
        </w:rPr>
        <w:t>苏州市新型文化空间焕新培育，旨在对现有覆盖城乡的公共文化场馆</w:t>
      </w:r>
      <w:r>
        <w:rPr>
          <w:rFonts w:hint="eastAsia" w:cs="仿宋_GB2312"/>
          <w:b w:val="0"/>
          <w:bCs w:val="0"/>
          <w:sz w:val="32"/>
          <w:szCs w:val="32"/>
          <w:lang w:eastAsia="zh-CN"/>
        </w:rPr>
        <w:t>设施</w:t>
      </w:r>
      <w:r>
        <w:rPr>
          <w:rFonts w:hint="eastAsia" w:ascii="仿宋_GB2312" w:hAnsi="仿宋_GB2312" w:eastAsia="仿宋_GB2312" w:cs="仿宋_GB2312"/>
          <w:b w:val="0"/>
          <w:bCs w:val="0"/>
          <w:sz w:val="32"/>
          <w:szCs w:val="32"/>
        </w:rPr>
        <w:t>体系、特别是基层服务</w:t>
      </w:r>
      <w:r>
        <w:rPr>
          <w:rFonts w:hint="eastAsia" w:cs="仿宋_GB2312"/>
          <w:b w:val="0"/>
          <w:bCs w:val="0"/>
          <w:sz w:val="32"/>
          <w:szCs w:val="32"/>
          <w:lang w:eastAsia="zh-CN"/>
        </w:rPr>
        <w:t>阵地</w:t>
      </w:r>
      <w:r>
        <w:rPr>
          <w:rFonts w:hint="eastAsia" w:ascii="仿宋_GB2312" w:hAnsi="仿宋_GB2312" w:eastAsia="仿宋_GB2312" w:cs="仿宋_GB2312"/>
          <w:b w:val="0"/>
          <w:bCs w:val="0"/>
          <w:sz w:val="32"/>
          <w:szCs w:val="32"/>
        </w:rPr>
        <w:t>进行</w:t>
      </w:r>
      <w:r>
        <w:rPr>
          <w:rFonts w:hint="eastAsia" w:cs="仿宋_GB2312"/>
          <w:b w:val="0"/>
          <w:bCs w:val="0"/>
          <w:sz w:val="32"/>
          <w:szCs w:val="32"/>
          <w:lang w:eastAsia="zh-CN"/>
        </w:rPr>
        <w:t>焕新</w:t>
      </w:r>
      <w:r>
        <w:rPr>
          <w:rFonts w:hint="eastAsia" w:ascii="仿宋_GB2312" w:hAnsi="仿宋_GB2312" w:eastAsia="仿宋_GB2312" w:cs="仿宋_GB2312"/>
          <w:b w:val="0"/>
          <w:bCs w:val="0"/>
          <w:sz w:val="32"/>
          <w:szCs w:val="32"/>
        </w:rPr>
        <w:t>延展</w:t>
      </w:r>
      <w:r>
        <w:rPr>
          <w:rFonts w:hint="eastAsia" w:cs="仿宋_GB2312"/>
          <w:b w:val="0"/>
          <w:bCs w:val="0"/>
          <w:sz w:val="32"/>
          <w:szCs w:val="32"/>
          <w:lang w:eastAsia="zh-CN"/>
        </w:rPr>
        <w:t>、提档</w:t>
      </w:r>
      <w:r>
        <w:rPr>
          <w:rFonts w:hint="eastAsia" w:ascii="仿宋_GB2312" w:hAnsi="仿宋_GB2312" w:eastAsia="仿宋_GB2312" w:cs="仿宋_GB2312"/>
          <w:b w:val="0"/>
          <w:bCs w:val="0"/>
          <w:sz w:val="32"/>
          <w:szCs w:val="32"/>
        </w:rPr>
        <w:t>提升。市、区两级中心馆，大型文化地标（综合体）以及已入选市级以上各类空间培育、</w:t>
      </w:r>
      <w:r>
        <w:rPr>
          <w:rFonts w:hint="eastAsia" w:cs="仿宋_GB2312"/>
          <w:b w:val="0"/>
          <w:bCs w:val="0"/>
          <w:sz w:val="32"/>
          <w:szCs w:val="32"/>
          <w:lang w:eastAsia="zh-CN"/>
        </w:rPr>
        <w:t>扶持</w:t>
      </w:r>
      <w:r>
        <w:rPr>
          <w:rFonts w:hint="eastAsia" w:ascii="仿宋_GB2312" w:hAnsi="仿宋_GB2312" w:eastAsia="仿宋_GB2312" w:cs="仿宋_GB2312"/>
          <w:b w:val="0"/>
          <w:bCs w:val="0"/>
          <w:sz w:val="32"/>
          <w:szCs w:val="32"/>
        </w:rPr>
        <w:t>的文化设施，暂不纳入本次支持范围，但鼓励上述设施按照新型文化空间焕新理念</w:t>
      </w:r>
      <w:r>
        <w:rPr>
          <w:rFonts w:hint="eastAsia" w:cs="仿宋_GB2312"/>
          <w:b w:val="0"/>
          <w:bCs w:val="0"/>
          <w:sz w:val="32"/>
          <w:szCs w:val="32"/>
          <w:lang w:eastAsia="zh-CN"/>
        </w:rPr>
        <w:t>、要求</w:t>
      </w:r>
      <w:r>
        <w:rPr>
          <w:rFonts w:hint="eastAsia" w:ascii="仿宋_GB2312" w:hAnsi="仿宋_GB2312" w:eastAsia="仿宋_GB2312" w:cs="仿宋_GB2312"/>
          <w:b w:val="0"/>
          <w:bCs w:val="0"/>
          <w:sz w:val="32"/>
          <w:szCs w:val="32"/>
        </w:rPr>
        <w:t>持续开展更新</w:t>
      </w:r>
      <w:r>
        <w:rPr>
          <w:rFonts w:hint="eastAsia" w:cs="仿宋_GB2312"/>
          <w:b w:val="0"/>
          <w:bCs w:val="0"/>
          <w:sz w:val="32"/>
          <w:szCs w:val="32"/>
          <w:lang w:eastAsia="zh-CN"/>
        </w:rPr>
        <w:t>和</w:t>
      </w:r>
      <w:r>
        <w:rPr>
          <w:rFonts w:hint="eastAsia" w:ascii="仿宋_GB2312" w:hAnsi="仿宋_GB2312" w:eastAsia="仿宋_GB2312" w:cs="仿宋_GB2312"/>
          <w:b w:val="0"/>
          <w:bCs w:val="0"/>
          <w:sz w:val="32"/>
          <w:szCs w:val="32"/>
        </w:rPr>
        <w:t>再造。</w:t>
      </w:r>
    </w:p>
    <w:p w14:paraId="03E87FE6">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r>
        <w:rPr>
          <w:rFonts w:ascii="黑体" w:hAnsi="黑体" w:eastAsia="黑体" w:cs="黑体"/>
          <w:b w:val="0"/>
          <w:bCs w:val="0"/>
          <w:sz w:val="32"/>
          <w:szCs w:val="32"/>
        </w:rPr>
        <w:t xml:space="preserve">第四条  </w:t>
      </w:r>
      <w:r>
        <w:rPr>
          <w:rFonts w:ascii="仿宋_GB2312" w:hAnsi="仿宋_GB2312" w:eastAsia="仿宋_GB2312" w:cs="仿宋_GB2312"/>
          <w:b w:val="0"/>
          <w:bCs w:val="0"/>
          <w:sz w:val="32"/>
          <w:szCs w:val="32"/>
        </w:rPr>
        <w:t>市、区两级文化和旅游行政部门按职责分工，做好苏州市新型文化空间焕新培育的点位确认、</w:t>
      </w:r>
      <w:r>
        <w:rPr>
          <w:rFonts w:hint="eastAsia" w:cs="仿宋_GB2312"/>
          <w:b w:val="0"/>
          <w:bCs w:val="0"/>
          <w:sz w:val="32"/>
          <w:szCs w:val="32"/>
          <w:lang w:eastAsia="zh-CN"/>
        </w:rPr>
        <w:t>联系</w:t>
      </w:r>
      <w:r>
        <w:rPr>
          <w:rFonts w:ascii="仿宋_GB2312" w:hAnsi="仿宋_GB2312" w:eastAsia="仿宋_GB2312" w:cs="仿宋_GB2312"/>
          <w:b w:val="0"/>
          <w:bCs w:val="0"/>
          <w:sz w:val="32"/>
          <w:szCs w:val="32"/>
        </w:rPr>
        <w:t>指导、奖补发放和长效监管工作。主动加强与各行政主管部门沟通协作，加强制度设计、优化</w:t>
      </w:r>
      <w:r>
        <w:rPr>
          <w:rFonts w:hint="eastAsia" w:cs="仿宋_GB2312"/>
          <w:b w:val="0"/>
          <w:bCs w:val="0"/>
          <w:sz w:val="32"/>
          <w:szCs w:val="32"/>
          <w:lang w:eastAsia="zh-CN"/>
        </w:rPr>
        <w:t>标准</w:t>
      </w:r>
      <w:r>
        <w:rPr>
          <w:rFonts w:ascii="仿宋_GB2312" w:hAnsi="仿宋_GB2312" w:eastAsia="仿宋_GB2312" w:cs="仿宋_GB2312"/>
          <w:b w:val="0"/>
          <w:bCs w:val="0"/>
          <w:sz w:val="32"/>
          <w:szCs w:val="32"/>
        </w:rPr>
        <w:t>流程、接受社会监督，因地制宜培育</w:t>
      </w:r>
      <w:r>
        <w:rPr>
          <w:rFonts w:hint="eastAsia" w:cs="仿宋_GB2312"/>
          <w:b w:val="0"/>
          <w:bCs w:val="0"/>
          <w:sz w:val="32"/>
          <w:szCs w:val="32"/>
          <w:lang w:eastAsia="zh-CN"/>
        </w:rPr>
        <w:t>打造</w:t>
      </w:r>
      <w:r>
        <w:rPr>
          <w:rFonts w:ascii="仿宋_GB2312" w:hAnsi="仿宋_GB2312" w:eastAsia="仿宋_GB2312" w:cs="仿宋_GB2312"/>
          <w:b w:val="0"/>
          <w:bCs w:val="0"/>
          <w:sz w:val="32"/>
          <w:szCs w:val="32"/>
        </w:rPr>
        <w:t>更多空间阵地类融合高质量发展典型。</w:t>
      </w:r>
    </w:p>
    <w:p w14:paraId="13E4D9C0">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p>
    <w:p w14:paraId="28799509">
      <w:pPr>
        <w:keepNext w:val="0"/>
        <w:keepLines w:val="0"/>
        <w:pageBreakBefore w:val="0"/>
        <w:kinsoku/>
        <w:wordWrap/>
        <w:overflowPunct/>
        <w:topLinePunct w:val="0"/>
        <w:autoSpaceDE/>
        <w:autoSpaceDN/>
        <w:bidi w:val="0"/>
        <w:adjustRightInd/>
        <w:spacing w:before="0" w:after="0" w:line="580" w:lineRule="exact"/>
        <w:jc w:val="center"/>
        <w:textAlignment w:val="auto"/>
        <w:rPr>
          <w:sz w:val="32"/>
          <w:szCs w:val="32"/>
        </w:rPr>
      </w:pPr>
      <w:r>
        <w:rPr>
          <w:rFonts w:ascii="黑体" w:hAnsi="黑体" w:eastAsia="黑体" w:cs="黑体"/>
          <w:b/>
          <w:bCs/>
          <w:sz w:val="32"/>
          <w:szCs w:val="32"/>
        </w:rPr>
        <w:t>第二章  功能划分与工作要求</w:t>
      </w:r>
    </w:p>
    <w:p w14:paraId="7CD2A8B7">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 xml:space="preserve">第五条  </w:t>
      </w:r>
      <w:r>
        <w:rPr>
          <w:rFonts w:ascii="仿宋_GB2312" w:hAnsi="仿宋_GB2312" w:eastAsia="仿宋_GB2312" w:cs="仿宋_GB2312"/>
          <w:b w:val="0"/>
          <w:bCs w:val="0"/>
          <w:sz w:val="32"/>
          <w:szCs w:val="32"/>
        </w:rPr>
        <w:t>苏州市新型文化空间焕新培育的功能类型包括但不限于：</w:t>
      </w:r>
    </w:p>
    <w:p w14:paraId="5AF28805">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hint="eastAsia" w:ascii="楷体" w:hAnsi="楷体" w:eastAsia="楷体" w:cs="楷体"/>
          <w:b w:val="0"/>
          <w:bCs w:val="0"/>
          <w:sz w:val="32"/>
          <w:szCs w:val="32"/>
        </w:rPr>
        <w:t>（一）艺术普及新空间。</w:t>
      </w:r>
      <w:r>
        <w:rPr>
          <w:rFonts w:ascii="仿宋_GB2312" w:hAnsi="仿宋_GB2312" w:eastAsia="仿宋_GB2312" w:cs="仿宋_GB2312"/>
          <w:b w:val="0"/>
          <w:bCs w:val="0"/>
          <w:sz w:val="32"/>
          <w:szCs w:val="32"/>
        </w:rPr>
        <w:t>以“艺术普及、全民参与”为核心，立足基层馆站、广场绿地，加强文企联姻、校地合作，组织开展创作排练、美育课程、惠民演出、街头涂鸦等文化（公教）活动，成为孕育和传播新大众文艺、汇聚和转化人流客流的重要阵地。结合苏州“百戏之城”</w:t>
      </w:r>
      <w:r>
        <w:rPr>
          <w:rFonts w:hint="eastAsia" w:cs="仿宋_GB2312"/>
          <w:b w:val="0"/>
          <w:bCs w:val="0"/>
          <w:sz w:val="32"/>
          <w:szCs w:val="32"/>
          <w:lang w:eastAsia="zh-CN"/>
        </w:rPr>
        <w:t>“爱乐之城”建设任务</w:t>
      </w:r>
      <w:r>
        <w:rPr>
          <w:rFonts w:ascii="仿宋_GB2312" w:hAnsi="仿宋_GB2312" w:eastAsia="仿宋_GB2312" w:cs="仿宋_GB2312"/>
          <w:b w:val="0"/>
          <w:bCs w:val="0"/>
          <w:sz w:val="32"/>
          <w:szCs w:val="32"/>
        </w:rPr>
        <w:t>，</w:t>
      </w:r>
      <w:r>
        <w:rPr>
          <w:rFonts w:hint="eastAsia" w:cs="仿宋_GB2312"/>
          <w:b w:val="0"/>
          <w:bCs w:val="0"/>
          <w:sz w:val="32"/>
          <w:szCs w:val="32"/>
          <w:lang w:eastAsia="zh-CN"/>
        </w:rPr>
        <w:t>结合大众美育、文化夜校踊跃需求，广泛开展艺术普及与传播工作，</w:t>
      </w:r>
      <w:r>
        <w:rPr>
          <w:rFonts w:ascii="仿宋_GB2312" w:hAnsi="仿宋_GB2312" w:eastAsia="仿宋_GB2312" w:cs="仿宋_GB2312"/>
          <w:b w:val="0"/>
          <w:bCs w:val="0"/>
          <w:sz w:val="32"/>
          <w:szCs w:val="32"/>
        </w:rPr>
        <w:t>让</w:t>
      </w:r>
      <w:r>
        <w:rPr>
          <w:rFonts w:hint="eastAsia" w:cs="仿宋_GB2312"/>
          <w:b w:val="0"/>
          <w:bCs w:val="0"/>
          <w:sz w:val="32"/>
          <w:szCs w:val="32"/>
          <w:lang w:eastAsia="zh-CN"/>
        </w:rPr>
        <w:t>传统文化</w:t>
      </w:r>
      <w:r>
        <w:rPr>
          <w:rFonts w:ascii="仿宋_GB2312" w:hAnsi="仿宋_GB2312" w:eastAsia="仿宋_GB2312" w:cs="仿宋_GB2312"/>
          <w:b w:val="0"/>
          <w:bCs w:val="0"/>
          <w:sz w:val="32"/>
          <w:szCs w:val="32"/>
        </w:rPr>
        <w:t>与当代生活相遇。</w:t>
      </w:r>
    </w:p>
    <w:p w14:paraId="231884F0">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hint="eastAsia" w:ascii="楷体" w:hAnsi="楷体" w:eastAsia="楷体" w:cs="楷体"/>
          <w:b w:val="0"/>
          <w:bCs w:val="0"/>
          <w:sz w:val="32"/>
          <w:szCs w:val="32"/>
        </w:rPr>
        <w:t>（二）全民阅读新空间。</w:t>
      </w:r>
      <w:r>
        <w:rPr>
          <w:rFonts w:ascii="仿宋_GB2312" w:hAnsi="仿宋_GB2312" w:eastAsia="仿宋_GB2312" w:cs="仿宋_GB2312"/>
          <w:b w:val="0"/>
          <w:bCs w:val="0"/>
          <w:sz w:val="32"/>
          <w:szCs w:val="32"/>
        </w:rPr>
        <w:t>以“阅读+”为核心，突破“借阅流通”单一功能，提供集文化讲座、首发签售、数字交互、漂流捐赠于一</w:t>
      </w:r>
      <w:r>
        <w:rPr>
          <w:rFonts w:hint="eastAsia" w:cs="仿宋_GB2312"/>
          <w:b w:val="0"/>
          <w:bCs w:val="0"/>
          <w:sz w:val="32"/>
          <w:szCs w:val="32"/>
          <w:lang w:eastAsia="zh-CN"/>
        </w:rPr>
        <w:t>体</w:t>
      </w:r>
      <w:r>
        <w:rPr>
          <w:rFonts w:ascii="仿宋_GB2312" w:hAnsi="仿宋_GB2312" w:eastAsia="仿宋_GB2312" w:cs="仿宋_GB2312"/>
          <w:b w:val="0"/>
          <w:bCs w:val="0"/>
          <w:sz w:val="32"/>
          <w:szCs w:val="32"/>
        </w:rPr>
        <w:t>的“全载体、全场景”阅读阵地，为全方位、全链条打造书香典范城市赋能助力。鼓励社会力量参与特色</w:t>
      </w:r>
      <w:r>
        <w:rPr>
          <w:rFonts w:hint="eastAsia" w:cs="仿宋_GB2312"/>
          <w:b w:val="0"/>
          <w:bCs w:val="0"/>
          <w:sz w:val="32"/>
          <w:szCs w:val="32"/>
          <w:lang w:eastAsia="zh-CN"/>
        </w:rPr>
        <w:t>分馆、城市</w:t>
      </w:r>
      <w:r>
        <w:rPr>
          <w:rFonts w:ascii="仿宋_GB2312" w:hAnsi="仿宋_GB2312" w:eastAsia="仿宋_GB2312" w:cs="仿宋_GB2312"/>
          <w:b w:val="0"/>
          <w:bCs w:val="0"/>
          <w:sz w:val="32"/>
          <w:szCs w:val="32"/>
        </w:rPr>
        <w:t>书房、</w:t>
      </w:r>
      <w:r>
        <w:rPr>
          <w:rFonts w:hint="eastAsia" w:cs="仿宋_GB2312"/>
          <w:b w:val="0"/>
          <w:bCs w:val="0"/>
          <w:sz w:val="32"/>
          <w:szCs w:val="32"/>
          <w:lang w:eastAsia="zh-CN"/>
        </w:rPr>
        <w:t>最美</w:t>
      </w:r>
      <w:r>
        <w:rPr>
          <w:rFonts w:ascii="仿宋_GB2312" w:hAnsi="仿宋_GB2312" w:eastAsia="仿宋_GB2312" w:cs="仿宋_GB2312"/>
          <w:b w:val="0"/>
          <w:bCs w:val="0"/>
          <w:sz w:val="32"/>
          <w:szCs w:val="32"/>
        </w:rPr>
        <w:t>书店、</w:t>
      </w:r>
      <w:r>
        <w:rPr>
          <w:rFonts w:hint="eastAsia" w:cs="仿宋_GB2312"/>
          <w:b w:val="0"/>
          <w:bCs w:val="0"/>
          <w:sz w:val="32"/>
          <w:szCs w:val="32"/>
          <w:lang w:eastAsia="zh-CN"/>
        </w:rPr>
        <w:t>农家书屋、图书漂流点等阅读服务设施的</w:t>
      </w:r>
      <w:r>
        <w:rPr>
          <w:rFonts w:ascii="仿宋_GB2312" w:hAnsi="仿宋_GB2312" w:eastAsia="仿宋_GB2312" w:cs="仿宋_GB2312"/>
          <w:b w:val="0"/>
          <w:bCs w:val="0"/>
          <w:sz w:val="32"/>
          <w:szCs w:val="32"/>
        </w:rPr>
        <w:t>建设运营，让</w:t>
      </w:r>
      <w:r>
        <w:rPr>
          <w:rFonts w:hint="eastAsia" w:cs="仿宋_GB2312"/>
          <w:b w:val="0"/>
          <w:bCs w:val="0"/>
          <w:sz w:val="32"/>
          <w:szCs w:val="32"/>
          <w:lang w:eastAsia="zh-CN"/>
        </w:rPr>
        <w:t>随处可见、随手可取、随时可读的服务</w:t>
      </w:r>
      <w:r>
        <w:rPr>
          <w:rFonts w:ascii="仿宋_GB2312" w:hAnsi="仿宋_GB2312" w:eastAsia="仿宋_GB2312" w:cs="仿宋_GB2312"/>
          <w:b w:val="0"/>
          <w:bCs w:val="0"/>
          <w:sz w:val="32"/>
          <w:szCs w:val="32"/>
        </w:rPr>
        <w:t>空间成</w:t>
      </w:r>
      <w:r>
        <w:rPr>
          <w:rFonts w:hint="eastAsia" w:cs="仿宋_GB2312"/>
          <w:b w:val="0"/>
          <w:bCs w:val="0"/>
          <w:sz w:val="32"/>
          <w:szCs w:val="32"/>
          <w:lang w:eastAsia="zh-CN"/>
        </w:rPr>
        <w:t>为</w:t>
      </w:r>
      <w:r>
        <w:rPr>
          <w:rFonts w:ascii="仿宋_GB2312" w:hAnsi="仿宋_GB2312" w:eastAsia="仿宋_GB2312" w:cs="仿宋_GB2312"/>
          <w:b w:val="0"/>
          <w:bCs w:val="0"/>
          <w:sz w:val="32"/>
          <w:szCs w:val="32"/>
        </w:rPr>
        <w:t>涵养城市气质的文化客厅。</w:t>
      </w:r>
    </w:p>
    <w:p w14:paraId="0A19E90B">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r>
        <w:rPr>
          <w:rFonts w:hint="eastAsia" w:ascii="楷体" w:hAnsi="楷体" w:eastAsia="楷体" w:cs="楷体"/>
          <w:b w:val="0"/>
          <w:bCs w:val="0"/>
          <w:sz w:val="32"/>
          <w:szCs w:val="32"/>
        </w:rPr>
        <w:t>（三）一站式服务新空间。</w:t>
      </w:r>
      <w:r>
        <w:rPr>
          <w:rFonts w:hint="eastAsia" w:ascii="仿宋_GB2312" w:hAnsi="仿宋_GB2312" w:eastAsia="仿宋_GB2312" w:cs="仿宋_GB2312"/>
          <w:b w:val="0"/>
          <w:bCs w:val="0"/>
          <w:sz w:val="32"/>
          <w:szCs w:val="32"/>
          <w:lang w:eastAsia="zh-CN"/>
        </w:rPr>
        <w:t>以“一刻钟</w:t>
      </w:r>
      <w:r>
        <w:rPr>
          <w:rFonts w:hint="eastAsia" w:cs="仿宋_GB2312"/>
          <w:b w:val="0"/>
          <w:bCs w:val="0"/>
          <w:sz w:val="32"/>
          <w:szCs w:val="32"/>
          <w:lang w:eastAsia="zh-CN"/>
        </w:rPr>
        <w:t>幸福生活圈</w:t>
      </w:r>
      <w:r>
        <w:rPr>
          <w:rFonts w:hint="eastAsia" w:ascii="仿宋_GB2312" w:hAnsi="仿宋_GB2312" w:eastAsia="仿宋_GB2312" w:cs="仿宋_GB2312"/>
          <w:b w:val="0"/>
          <w:bCs w:val="0"/>
          <w:sz w:val="32"/>
          <w:szCs w:val="32"/>
          <w:lang w:eastAsia="zh-CN"/>
        </w:rPr>
        <w:t>”</w:t>
      </w:r>
      <w:r>
        <w:rPr>
          <w:rFonts w:hint="eastAsia" w:cs="仿宋_GB2312"/>
          <w:b w:val="0"/>
          <w:bCs w:val="0"/>
          <w:sz w:val="32"/>
          <w:szCs w:val="32"/>
          <w:lang w:eastAsia="zh-CN"/>
        </w:rPr>
        <w:t>建设为契机，引导文化阵地、服务内容主动</w:t>
      </w:r>
      <w:r>
        <w:rPr>
          <w:rFonts w:ascii="仿宋_GB2312" w:hAnsi="仿宋_GB2312" w:eastAsia="仿宋_GB2312" w:cs="仿宋_GB2312"/>
          <w:b w:val="0"/>
          <w:bCs w:val="0"/>
          <w:sz w:val="32"/>
          <w:szCs w:val="32"/>
        </w:rPr>
        <w:t>与党群服务中心、新时代文明实践站、社区服务中心等基层服务阵地共建共享</w:t>
      </w:r>
      <w:r>
        <w:rPr>
          <w:rFonts w:hint="eastAsia" w:cs="仿宋_GB2312"/>
          <w:b w:val="0"/>
          <w:bCs w:val="0"/>
          <w:sz w:val="32"/>
          <w:szCs w:val="32"/>
          <w:lang w:eastAsia="zh-CN"/>
        </w:rPr>
        <w:t>。结合智慧图书馆、公共文化云、君到苏州等数字服务平台，面向周边居民</w:t>
      </w:r>
      <w:r>
        <w:rPr>
          <w:rFonts w:ascii="仿宋_GB2312" w:hAnsi="仿宋_GB2312" w:eastAsia="仿宋_GB2312" w:cs="仿宋_GB2312"/>
          <w:b w:val="0"/>
          <w:bCs w:val="0"/>
          <w:sz w:val="32"/>
          <w:szCs w:val="32"/>
        </w:rPr>
        <w:t>提供</w:t>
      </w:r>
      <w:r>
        <w:rPr>
          <w:rFonts w:hint="eastAsia" w:cs="仿宋_GB2312"/>
          <w:b w:val="0"/>
          <w:bCs w:val="0"/>
          <w:sz w:val="32"/>
          <w:szCs w:val="32"/>
          <w:lang w:eastAsia="zh-CN"/>
        </w:rPr>
        <w:t>借阅证件办理、阅读自习、通借通还、数字视听、票务预约、政策咨询等服务内容，重点</w:t>
      </w:r>
      <w:r>
        <w:rPr>
          <w:rFonts w:ascii="仿宋_GB2312" w:hAnsi="仿宋_GB2312" w:eastAsia="仿宋_GB2312" w:cs="仿宋_GB2312"/>
          <w:b w:val="0"/>
          <w:bCs w:val="0"/>
          <w:sz w:val="32"/>
          <w:szCs w:val="32"/>
        </w:rPr>
        <w:t>确保未落户常住人口与户籍人口同等享受基本公共文化服务。</w:t>
      </w:r>
    </w:p>
    <w:p w14:paraId="129FFF1E">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楷体" w:hAnsi="楷体" w:eastAsia="楷体" w:cs="楷体"/>
          <w:b w:val="0"/>
          <w:bCs w:val="0"/>
          <w:color w:val="000000" w:themeColor="text1"/>
          <w:sz w:val="32"/>
          <w:szCs w:val="32"/>
          <w14:textFill>
            <w14:solidFill>
              <w14:schemeClr w14:val="tx1"/>
            </w14:solidFill>
          </w14:textFill>
        </w:rPr>
        <w:t>（四）文旅融合新空间。</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秉持</w:t>
      </w:r>
      <w:r>
        <w:rPr>
          <w:rFonts w:hint="eastAsia" w:cs="仿宋_GB2312"/>
          <w:b w:val="0"/>
          <w:bCs w:val="0"/>
          <w:color w:val="000000" w:themeColor="text1"/>
          <w:sz w:val="32"/>
          <w:szCs w:val="32"/>
          <w:lang w:eastAsia="zh-CN"/>
          <w14:textFill>
            <w14:solidFill>
              <w14:schemeClr w14:val="tx1"/>
            </w14:solidFill>
          </w14:textFill>
        </w:rPr>
        <w:t>融合发展理念，</w:t>
      </w:r>
      <w:r>
        <w:rPr>
          <w:rFonts w:ascii="仿宋_GB2312" w:hAnsi="仿宋_GB2312" w:eastAsia="仿宋_GB2312" w:cs="仿宋_GB2312"/>
          <w:b w:val="0"/>
          <w:bCs w:val="0"/>
          <w:color w:val="000000" w:themeColor="text1"/>
          <w:sz w:val="32"/>
          <w:szCs w:val="32"/>
          <w14:textFill>
            <w14:solidFill>
              <w14:schemeClr w14:val="tx1"/>
            </w14:solidFill>
          </w14:textFill>
        </w:rPr>
        <w:t>为景区景点、旅游镇村、交通枢纽里的“金角银边”</w:t>
      </w:r>
      <w:r>
        <w:rPr>
          <w:rFonts w:hint="eastAsia" w:cs="仿宋_GB2312"/>
          <w:b w:val="0"/>
          <w:bCs w:val="0"/>
          <w:color w:val="000000" w:themeColor="text1"/>
          <w:sz w:val="32"/>
          <w:szCs w:val="32"/>
          <w:lang w:eastAsia="zh-CN"/>
          <w14:textFill>
            <w14:solidFill>
              <w14:schemeClr w14:val="tx1"/>
            </w14:solidFill>
          </w14:textFill>
        </w:rPr>
        <w:t>加载</w:t>
      </w:r>
      <w:r>
        <w:rPr>
          <w:rFonts w:ascii="仿宋_GB2312" w:hAnsi="仿宋_GB2312" w:eastAsia="仿宋_GB2312" w:cs="仿宋_GB2312"/>
          <w:b w:val="0"/>
          <w:bCs w:val="0"/>
          <w:color w:val="000000" w:themeColor="text1"/>
          <w:sz w:val="32"/>
          <w:szCs w:val="32"/>
          <w14:textFill>
            <w14:solidFill>
              <w14:schemeClr w14:val="tx1"/>
            </w14:solidFill>
          </w14:textFill>
        </w:rPr>
        <w:t>文创销售、</w:t>
      </w:r>
      <w:r>
        <w:rPr>
          <w:rFonts w:hint="eastAsia" w:cs="仿宋_GB2312"/>
          <w:b w:val="0"/>
          <w:bCs w:val="0"/>
          <w:color w:val="000000" w:themeColor="text1"/>
          <w:sz w:val="32"/>
          <w:szCs w:val="32"/>
          <w:lang w:eastAsia="zh-CN"/>
          <w14:textFill>
            <w14:solidFill>
              <w14:schemeClr w14:val="tx1"/>
            </w14:solidFill>
          </w14:textFill>
        </w:rPr>
        <w:t>快闪演出、</w:t>
      </w:r>
      <w:r>
        <w:rPr>
          <w:rFonts w:ascii="仿宋_GB2312" w:hAnsi="仿宋_GB2312" w:eastAsia="仿宋_GB2312" w:cs="仿宋_GB2312"/>
          <w:b w:val="0"/>
          <w:bCs w:val="0"/>
          <w:color w:val="000000" w:themeColor="text1"/>
          <w:sz w:val="32"/>
          <w:szCs w:val="32"/>
          <w14:textFill>
            <w14:solidFill>
              <w14:schemeClr w14:val="tx1"/>
            </w14:solidFill>
          </w14:textFill>
        </w:rPr>
        <w:t>行李寄存</w:t>
      </w:r>
      <w:r>
        <w:rPr>
          <w:rFonts w:hint="eastAsia" w:cs="仿宋_GB2312"/>
          <w:b w:val="0"/>
          <w:bCs w:val="0"/>
          <w:color w:val="000000" w:themeColor="text1"/>
          <w:sz w:val="32"/>
          <w:szCs w:val="32"/>
          <w:lang w:eastAsia="zh-CN"/>
          <w14:textFill>
            <w14:solidFill>
              <w14:schemeClr w14:val="tx1"/>
            </w14:solidFill>
          </w14:textFill>
        </w:rPr>
        <w:t>等服务功能；在河湖环线、山林湿地、文体步道干线及周边设置具备基本服务功能和内容的文旅驿站、打卡点位；为公共交通、水上游船、摩天轮座舱等密闭空间加载文化宣传、主题装饰等服务内容。为</w:t>
      </w:r>
      <w:r>
        <w:rPr>
          <w:rFonts w:ascii="仿宋_GB2312" w:hAnsi="仿宋_GB2312" w:eastAsia="仿宋_GB2312" w:cs="仿宋_GB2312"/>
          <w:b w:val="0"/>
          <w:bCs w:val="0"/>
          <w:color w:val="000000" w:themeColor="text1"/>
          <w:sz w:val="32"/>
          <w:szCs w:val="32"/>
          <w14:textFill>
            <w14:solidFill>
              <w14:schemeClr w14:val="tx1"/>
            </w14:solidFill>
          </w14:textFill>
        </w:rPr>
        <w:t>各地游客提供快速了解苏州文化、</w:t>
      </w:r>
      <w:r>
        <w:rPr>
          <w:rFonts w:hint="eastAsia" w:cs="仿宋_GB2312"/>
          <w:b w:val="0"/>
          <w:bCs w:val="0"/>
          <w:color w:val="000000" w:themeColor="text1"/>
          <w:sz w:val="32"/>
          <w:szCs w:val="32"/>
          <w:lang w:eastAsia="zh-CN"/>
          <w14:textFill>
            <w14:solidFill>
              <w14:schemeClr w14:val="tx1"/>
            </w14:solidFill>
          </w14:textFill>
        </w:rPr>
        <w:t>便捷</w:t>
      </w:r>
      <w:r>
        <w:rPr>
          <w:rFonts w:ascii="仿宋_GB2312" w:hAnsi="仿宋_GB2312" w:eastAsia="仿宋_GB2312" w:cs="仿宋_GB2312"/>
          <w:b w:val="0"/>
          <w:bCs w:val="0"/>
          <w:color w:val="000000" w:themeColor="text1"/>
          <w:sz w:val="32"/>
          <w:szCs w:val="32"/>
          <w14:textFill>
            <w14:solidFill>
              <w14:schemeClr w14:val="tx1"/>
            </w14:solidFill>
          </w14:textFill>
        </w:rPr>
        <w:t>享受公共服务的平台</w:t>
      </w:r>
      <w:r>
        <w:rPr>
          <w:rFonts w:hint="eastAsia" w:cs="仿宋_GB2312"/>
          <w:b w:val="0"/>
          <w:bCs w:val="0"/>
          <w:color w:val="000000" w:themeColor="text1"/>
          <w:sz w:val="32"/>
          <w:szCs w:val="32"/>
          <w:lang w:eastAsia="zh-CN"/>
          <w14:textFill>
            <w14:solidFill>
              <w14:schemeClr w14:val="tx1"/>
            </w14:solidFill>
          </w14:textFill>
        </w:rPr>
        <w:t>设施</w:t>
      </w:r>
      <w:r>
        <w:rPr>
          <w:rFonts w:ascii="仿宋_GB2312" w:hAnsi="仿宋_GB2312" w:eastAsia="仿宋_GB2312" w:cs="仿宋_GB2312"/>
          <w:b w:val="0"/>
          <w:bCs w:val="0"/>
          <w:color w:val="000000" w:themeColor="text1"/>
          <w:sz w:val="32"/>
          <w:szCs w:val="32"/>
          <w14:textFill>
            <w14:solidFill>
              <w14:schemeClr w14:val="tx1"/>
            </w14:solidFill>
          </w14:textFill>
        </w:rPr>
        <w:t>。</w:t>
      </w:r>
    </w:p>
    <w:p w14:paraId="03EBDBE1">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cs="仿宋_GB2312"/>
          <w:b w:val="0"/>
          <w:bCs w:val="0"/>
          <w:sz w:val="32"/>
          <w:szCs w:val="32"/>
          <w:lang w:eastAsia="zh-CN"/>
        </w:rPr>
      </w:pPr>
      <w:r>
        <w:rPr>
          <w:rFonts w:hint="eastAsia" w:ascii="楷体" w:hAnsi="楷体" w:eastAsia="楷体" w:cs="楷体"/>
          <w:b w:val="0"/>
          <w:bCs w:val="0"/>
          <w:sz w:val="32"/>
          <w:szCs w:val="32"/>
        </w:rPr>
        <w:t>（五）社区文化“嵌入式”新空间。</w:t>
      </w:r>
      <w:r>
        <w:rPr>
          <w:rFonts w:ascii="仿宋_GB2312" w:hAnsi="仿宋_GB2312" w:eastAsia="仿宋_GB2312" w:cs="仿宋_GB2312"/>
          <w:b w:val="0"/>
          <w:bCs w:val="0"/>
          <w:sz w:val="32"/>
          <w:szCs w:val="32"/>
        </w:rPr>
        <w:t>结合城市更新</w:t>
      </w:r>
      <w:r>
        <w:rPr>
          <w:rFonts w:hint="eastAsia" w:cs="仿宋_GB2312"/>
          <w:b w:val="0"/>
          <w:bCs w:val="0"/>
          <w:sz w:val="32"/>
          <w:szCs w:val="32"/>
          <w:lang w:eastAsia="zh-CN"/>
        </w:rPr>
        <w:t>工作要求和嵌入式发展理念，因地制宜</w:t>
      </w:r>
      <w:r>
        <w:rPr>
          <w:rFonts w:ascii="仿宋_GB2312" w:hAnsi="仿宋_GB2312" w:eastAsia="仿宋_GB2312" w:cs="仿宋_GB2312"/>
          <w:b w:val="0"/>
          <w:bCs w:val="0"/>
          <w:sz w:val="32"/>
          <w:szCs w:val="32"/>
        </w:rPr>
        <w:t>盘活</w:t>
      </w:r>
      <w:r>
        <w:rPr>
          <w:rFonts w:hint="eastAsia" w:cs="仿宋_GB2312"/>
          <w:b w:val="0"/>
          <w:bCs w:val="0"/>
          <w:sz w:val="32"/>
          <w:szCs w:val="32"/>
          <w:lang w:eastAsia="zh-CN"/>
        </w:rPr>
        <w:t>用好基层</w:t>
      </w:r>
      <w:r>
        <w:rPr>
          <w:rFonts w:ascii="仿宋_GB2312" w:hAnsi="仿宋_GB2312" w:eastAsia="仿宋_GB2312" w:cs="仿宋_GB2312"/>
          <w:b w:val="0"/>
          <w:bCs w:val="0"/>
          <w:sz w:val="32"/>
          <w:szCs w:val="32"/>
        </w:rPr>
        <w:t>闲置空间</w:t>
      </w:r>
      <w:r>
        <w:rPr>
          <w:rFonts w:hint="eastAsia" w:cs="仿宋_GB2312"/>
          <w:b w:val="0"/>
          <w:bCs w:val="0"/>
          <w:sz w:val="32"/>
          <w:szCs w:val="32"/>
          <w:lang w:eastAsia="zh-CN"/>
        </w:rPr>
        <w:t>。</w:t>
      </w:r>
      <w:r>
        <w:rPr>
          <w:rFonts w:ascii="仿宋_GB2312" w:hAnsi="仿宋_GB2312" w:eastAsia="仿宋_GB2312" w:cs="仿宋_GB2312"/>
          <w:b w:val="0"/>
          <w:bCs w:val="0"/>
          <w:sz w:val="32"/>
          <w:szCs w:val="32"/>
        </w:rPr>
        <w:t>面向社区村落打造“楼道边”“家门口”的</w:t>
      </w:r>
      <w:r>
        <w:rPr>
          <w:rFonts w:hint="eastAsia" w:cs="仿宋_GB2312"/>
          <w:b w:val="0"/>
          <w:bCs w:val="0"/>
          <w:sz w:val="32"/>
          <w:szCs w:val="32"/>
          <w:lang w:eastAsia="zh-CN"/>
        </w:rPr>
        <w:t>公共文化服务</w:t>
      </w:r>
      <w:r>
        <w:rPr>
          <w:rFonts w:ascii="仿宋_GB2312" w:hAnsi="仿宋_GB2312" w:eastAsia="仿宋_GB2312" w:cs="仿宋_GB2312"/>
          <w:b w:val="0"/>
          <w:bCs w:val="0"/>
          <w:sz w:val="32"/>
          <w:szCs w:val="32"/>
        </w:rPr>
        <w:t>阵地，重点面向周边居民</w:t>
      </w:r>
      <w:r>
        <w:rPr>
          <w:rFonts w:hint="eastAsia" w:cs="仿宋_GB2312"/>
          <w:b w:val="0"/>
          <w:bCs w:val="0"/>
          <w:sz w:val="32"/>
          <w:szCs w:val="32"/>
          <w:lang w:eastAsia="zh-CN"/>
        </w:rPr>
        <w:t>，尤其</w:t>
      </w:r>
      <w:r>
        <w:rPr>
          <w:rFonts w:ascii="仿宋_GB2312" w:hAnsi="仿宋_GB2312" w:eastAsia="仿宋_GB2312" w:cs="仿宋_GB2312"/>
          <w:b w:val="0"/>
          <w:bCs w:val="0"/>
          <w:sz w:val="32"/>
          <w:szCs w:val="32"/>
        </w:rPr>
        <w:t>是“一老一小”“全职妈妈”等群体提供</w:t>
      </w:r>
      <w:r>
        <w:rPr>
          <w:rFonts w:hint="eastAsia" w:cs="仿宋_GB2312"/>
          <w:b w:val="0"/>
          <w:bCs w:val="0"/>
          <w:sz w:val="32"/>
          <w:szCs w:val="32"/>
          <w:lang w:eastAsia="zh-CN"/>
        </w:rPr>
        <w:t>读书看报、</w:t>
      </w:r>
      <w:r>
        <w:rPr>
          <w:rFonts w:ascii="仿宋_GB2312" w:hAnsi="仿宋_GB2312" w:eastAsia="仿宋_GB2312" w:cs="仿宋_GB2312"/>
          <w:b w:val="0"/>
          <w:bCs w:val="0"/>
          <w:sz w:val="32"/>
          <w:szCs w:val="32"/>
        </w:rPr>
        <w:t>亲子互动、</w:t>
      </w:r>
      <w:r>
        <w:rPr>
          <w:rFonts w:hint="eastAsia" w:ascii="仿宋_GB2312" w:hAnsi="仿宋_GB2312" w:eastAsia="仿宋_GB2312" w:cs="仿宋_GB2312"/>
          <w:b w:val="0"/>
          <w:bCs w:val="0"/>
          <w:sz w:val="32"/>
          <w:szCs w:val="32"/>
        </w:rPr>
        <w:t>文化讲座、排练辅导、手作体验</w:t>
      </w:r>
      <w:r>
        <w:rPr>
          <w:rFonts w:ascii="仿宋_GB2312" w:hAnsi="仿宋_GB2312" w:eastAsia="仿宋_GB2312" w:cs="仿宋_GB2312"/>
          <w:b w:val="0"/>
          <w:bCs w:val="0"/>
          <w:sz w:val="32"/>
          <w:szCs w:val="32"/>
        </w:rPr>
        <w:t>等基本服务</w:t>
      </w:r>
      <w:r>
        <w:rPr>
          <w:rFonts w:hint="eastAsia" w:cs="仿宋_GB2312"/>
          <w:b w:val="0"/>
          <w:bCs w:val="0"/>
          <w:sz w:val="32"/>
          <w:szCs w:val="32"/>
          <w:lang w:eastAsia="zh-CN"/>
        </w:rPr>
        <w:t>项目，方便城乡居民就近就便接受均等优质的公共文化服务。</w:t>
      </w:r>
    </w:p>
    <w:p w14:paraId="20B4EB7D">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cs="仿宋_GB2312"/>
          <w:b w:val="0"/>
          <w:bCs w:val="0"/>
          <w:sz w:val="32"/>
          <w:szCs w:val="32"/>
          <w:lang w:eastAsia="zh-CN"/>
        </w:rPr>
      </w:pPr>
    </w:p>
    <w:p w14:paraId="70336753">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r>
        <w:rPr>
          <w:rFonts w:hint="eastAsia" w:ascii="楷体" w:hAnsi="楷体" w:eastAsia="楷体" w:cs="楷体"/>
          <w:b w:val="0"/>
          <w:bCs w:val="0"/>
          <w:sz w:val="32"/>
          <w:szCs w:val="32"/>
        </w:rPr>
        <w:t>（六）工业遗址/历史建筑活化新空间。</w:t>
      </w:r>
      <w:r>
        <w:rPr>
          <w:rFonts w:ascii="仿宋_GB2312" w:hAnsi="仿宋_GB2312" w:eastAsia="仿宋_GB2312" w:cs="仿宋_GB2312"/>
          <w:b w:val="0"/>
          <w:bCs w:val="0"/>
          <w:sz w:val="32"/>
          <w:szCs w:val="32"/>
        </w:rPr>
        <w:t>在保留工业遗产、历史建筑原有风貌与文化内涵的基础上，因地制宜改造成为具有展览展示、艺术创作、传播交流、创意孵化等功能的基层文化空间，更好实现文物古建的活态利用。借鉴苏州古城保护更新与古建老宅活化利用经验，推动</w:t>
      </w:r>
      <w:r>
        <w:rPr>
          <w:rFonts w:hint="eastAsia" w:cs="仿宋_GB2312"/>
          <w:b w:val="0"/>
          <w:bCs w:val="0"/>
          <w:sz w:val="32"/>
          <w:szCs w:val="32"/>
          <w:lang w:eastAsia="zh-CN"/>
        </w:rPr>
        <w:t>工业旅游、乡贤文化</w:t>
      </w:r>
      <w:r>
        <w:rPr>
          <w:rFonts w:ascii="仿宋_GB2312" w:hAnsi="仿宋_GB2312" w:eastAsia="仿宋_GB2312" w:cs="仿宋_GB2312"/>
          <w:b w:val="0"/>
          <w:bCs w:val="0"/>
          <w:sz w:val="32"/>
          <w:szCs w:val="32"/>
        </w:rPr>
        <w:t>与创意设计在此集聚，让老厂房、老宅院在保留历史记忆中焕发新的文化活力。</w:t>
      </w:r>
    </w:p>
    <w:p w14:paraId="195C2B0D">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r>
        <w:rPr>
          <w:rFonts w:hint="eastAsia" w:ascii="楷体" w:hAnsi="楷体" w:eastAsia="楷体" w:cs="楷体"/>
          <w:b w:val="0"/>
          <w:bCs w:val="0"/>
          <w:sz w:val="32"/>
          <w:szCs w:val="32"/>
        </w:rPr>
        <w:t>（七）传统文化体验新空间。</w:t>
      </w:r>
      <w:r>
        <w:rPr>
          <w:rFonts w:ascii="仿宋_GB2312" w:hAnsi="仿宋_GB2312" w:eastAsia="仿宋_GB2312" w:cs="仿宋_GB2312"/>
          <w:b w:val="0"/>
          <w:bCs w:val="0"/>
          <w:sz w:val="32"/>
          <w:szCs w:val="32"/>
        </w:rPr>
        <w:t>发挥</w:t>
      </w:r>
      <w:r>
        <w:rPr>
          <w:rFonts w:hint="eastAsia" w:cs="仿宋_GB2312"/>
          <w:b w:val="0"/>
          <w:bCs w:val="0"/>
          <w:sz w:val="32"/>
          <w:szCs w:val="32"/>
          <w:lang w:eastAsia="zh-CN"/>
        </w:rPr>
        <w:t>文保考古、</w:t>
      </w:r>
      <w:r>
        <w:rPr>
          <w:rFonts w:ascii="仿宋_GB2312" w:hAnsi="仿宋_GB2312" w:eastAsia="仿宋_GB2312" w:cs="仿宋_GB2312"/>
          <w:b w:val="0"/>
          <w:bCs w:val="0"/>
          <w:sz w:val="32"/>
          <w:szCs w:val="32"/>
        </w:rPr>
        <w:t>非遗工坊、</w:t>
      </w:r>
      <w:r>
        <w:rPr>
          <w:rFonts w:hint="eastAsia" w:cs="仿宋_GB2312"/>
          <w:b w:val="0"/>
          <w:bCs w:val="0"/>
          <w:sz w:val="32"/>
          <w:szCs w:val="32"/>
          <w:lang w:eastAsia="zh-CN"/>
        </w:rPr>
        <w:t>纪念馆、陈列室</w:t>
      </w:r>
      <w:r>
        <w:rPr>
          <w:rFonts w:ascii="仿宋_GB2312" w:hAnsi="仿宋_GB2312" w:eastAsia="仿宋_GB2312" w:cs="仿宋_GB2312"/>
          <w:b w:val="0"/>
          <w:bCs w:val="0"/>
          <w:sz w:val="32"/>
          <w:szCs w:val="32"/>
        </w:rPr>
        <w:t>等传统文化展示阵地作用，采用</w:t>
      </w:r>
      <w:r>
        <w:rPr>
          <w:rFonts w:hint="eastAsia" w:cs="仿宋_GB2312"/>
          <w:b w:val="0"/>
          <w:bCs w:val="0"/>
          <w:sz w:val="32"/>
          <w:szCs w:val="32"/>
          <w:lang w:eastAsia="zh-CN"/>
        </w:rPr>
        <w:t>“实物展陈</w:t>
      </w:r>
      <w:r>
        <w:rPr>
          <w:rFonts w:hint="eastAsia" w:cs="仿宋_GB2312"/>
          <w:b w:val="0"/>
          <w:bCs w:val="0"/>
          <w:sz w:val="32"/>
          <w:szCs w:val="32"/>
          <w:lang w:val="en-US" w:eastAsia="zh-CN"/>
        </w:rPr>
        <w:t>+数字传播</w:t>
      </w:r>
      <w:r>
        <w:rPr>
          <w:rFonts w:hint="eastAsia" w:cs="仿宋_GB2312"/>
          <w:b w:val="0"/>
          <w:bCs w:val="0"/>
          <w:sz w:val="32"/>
          <w:szCs w:val="32"/>
          <w:lang w:eastAsia="zh-CN"/>
        </w:rPr>
        <w:t>”</w:t>
      </w:r>
      <w:r>
        <w:rPr>
          <w:rFonts w:ascii="仿宋_GB2312" w:hAnsi="仿宋_GB2312" w:eastAsia="仿宋_GB2312" w:cs="仿宋_GB2312"/>
          <w:b w:val="0"/>
          <w:bCs w:val="0"/>
          <w:sz w:val="32"/>
          <w:szCs w:val="32"/>
        </w:rPr>
        <w:t>“</w:t>
      </w:r>
      <w:r>
        <w:rPr>
          <w:rFonts w:hint="eastAsia" w:cs="仿宋_GB2312"/>
          <w:b w:val="0"/>
          <w:bCs w:val="0"/>
          <w:sz w:val="32"/>
          <w:szCs w:val="32"/>
          <w:lang w:eastAsia="zh-CN"/>
        </w:rPr>
        <w:t>传习</w:t>
      </w:r>
      <w:r>
        <w:rPr>
          <w:rFonts w:ascii="仿宋_GB2312" w:hAnsi="仿宋_GB2312" w:eastAsia="仿宋_GB2312" w:cs="仿宋_GB2312"/>
          <w:b w:val="0"/>
          <w:bCs w:val="0"/>
          <w:sz w:val="32"/>
          <w:szCs w:val="32"/>
        </w:rPr>
        <w:t>互动</w:t>
      </w:r>
      <w:r>
        <w:rPr>
          <w:rFonts w:hint="eastAsia" w:cs="仿宋_GB2312"/>
          <w:b w:val="0"/>
          <w:bCs w:val="0"/>
          <w:sz w:val="32"/>
          <w:szCs w:val="32"/>
          <w:lang w:val="en-US" w:eastAsia="zh-CN"/>
        </w:rPr>
        <w:t>+消费体验</w:t>
      </w:r>
      <w:r>
        <w:rPr>
          <w:rFonts w:ascii="仿宋_GB2312" w:hAnsi="仿宋_GB2312" w:eastAsia="仿宋_GB2312" w:cs="仿宋_GB2312"/>
          <w:b w:val="0"/>
          <w:bCs w:val="0"/>
          <w:sz w:val="32"/>
          <w:szCs w:val="32"/>
        </w:rPr>
        <w:t>”相结合的方式，</w:t>
      </w:r>
      <w:r>
        <w:rPr>
          <w:rFonts w:hint="eastAsia" w:cs="仿宋_GB2312"/>
          <w:b w:val="0"/>
          <w:bCs w:val="0"/>
          <w:sz w:val="32"/>
          <w:szCs w:val="32"/>
          <w:lang w:eastAsia="zh-CN"/>
        </w:rPr>
        <w:t>打造以文物展陈、非遗展示、历史记忆、乡土文化、乡贤名人为主要内容的基层文化</w:t>
      </w:r>
      <w:r>
        <w:rPr>
          <w:rFonts w:ascii="仿宋_GB2312" w:hAnsi="仿宋_GB2312" w:eastAsia="仿宋_GB2312" w:cs="仿宋_GB2312"/>
          <w:b w:val="0"/>
          <w:bCs w:val="0"/>
          <w:sz w:val="32"/>
          <w:szCs w:val="32"/>
        </w:rPr>
        <w:t>空间，助力传统文化融入现代生活</w:t>
      </w:r>
      <w:r>
        <w:rPr>
          <w:rFonts w:hint="eastAsia" w:cs="仿宋_GB2312"/>
          <w:b w:val="0"/>
          <w:bCs w:val="0"/>
          <w:sz w:val="32"/>
          <w:szCs w:val="32"/>
          <w:lang w:eastAsia="zh-CN"/>
        </w:rPr>
        <w:t>，更好</w:t>
      </w:r>
      <w:r>
        <w:rPr>
          <w:rFonts w:ascii="仿宋_GB2312" w:hAnsi="仿宋_GB2312" w:eastAsia="仿宋_GB2312" w:cs="仿宋_GB2312"/>
          <w:b w:val="0"/>
          <w:bCs w:val="0"/>
          <w:sz w:val="32"/>
          <w:szCs w:val="32"/>
        </w:rPr>
        <w:t>推动</w:t>
      </w:r>
      <w:r>
        <w:rPr>
          <w:rFonts w:hint="eastAsia" w:cs="仿宋_GB2312"/>
          <w:b w:val="0"/>
          <w:bCs w:val="0"/>
          <w:sz w:val="32"/>
          <w:szCs w:val="32"/>
          <w:lang w:eastAsia="zh-CN"/>
        </w:rPr>
        <w:t>江南文脉与传统技艺</w:t>
      </w:r>
      <w:r>
        <w:rPr>
          <w:rFonts w:ascii="仿宋_GB2312" w:hAnsi="仿宋_GB2312" w:eastAsia="仿宋_GB2312" w:cs="仿宋_GB2312"/>
          <w:b w:val="0"/>
          <w:bCs w:val="0"/>
          <w:sz w:val="32"/>
          <w:szCs w:val="32"/>
        </w:rPr>
        <w:t>活态传承、创新发展。</w:t>
      </w:r>
    </w:p>
    <w:p w14:paraId="022B29FA">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hint="eastAsia" w:ascii="楷体" w:hAnsi="楷体" w:eastAsia="楷体" w:cs="楷体"/>
          <w:b w:val="0"/>
          <w:bCs w:val="0"/>
          <w:sz w:val="32"/>
          <w:szCs w:val="32"/>
        </w:rPr>
        <w:t>（八）时尚潮流新空间。</w:t>
      </w:r>
      <w:r>
        <w:rPr>
          <w:rFonts w:ascii="仿宋_GB2312" w:hAnsi="仿宋_GB2312" w:eastAsia="仿宋_GB2312" w:cs="仿宋_GB2312"/>
          <w:b w:val="0"/>
          <w:bCs w:val="0"/>
          <w:sz w:val="32"/>
          <w:szCs w:val="32"/>
        </w:rPr>
        <w:t>围绕街头艺术、电竞体验、剧本娱乐、潮流市集、数字装置等青年群体喜闻乐见、聚集交互的场景内容，打造高颜值、沉浸式业态空间，培育青年文化消费、休闲社交的重要载体。推动“苏式生活美学”与青年潮流文化创新融合，鼓励社会力量引入国潮品牌、原创设计、数字文创等业态，让</w:t>
      </w:r>
      <w:r>
        <w:rPr>
          <w:rFonts w:hint="eastAsia" w:cs="仿宋_GB2312"/>
          <w:b w:val="0"/>
          <w:bCs w:val="0"/>
          <w:sz w:val="32"/>
          <w:szCs w:val="32"/>
          <w:lang w:eastAsia="zh-CN"/>
        </w:rPr>
        <w:t>传统</w:t>
      </w:r>
      <w:r>
        <w:rPr>
          <w:rFonts w:ascii="仿宋_GB2312" w:hAnsi="仿宋_GB2312" w:eastAsia="仿宋_GB2312" w:cs="仿宋_GB2312"/>
          <w:b w:val="0"/>
          <w:bCs w:val="0"/>
          <w:sz w:val="32"/>
          <w:szCs w:val="32"/>
        </w:rPr>
        <w:t>苏州元素</w:t>
      </w:r>
      <w:r>
        <w:rPr>
          <w:rFonts w:hint="eastAsia" w:cs="仿宋_GB2312"/>
          <w:b w:val="0"/>
          <w:bCs w:val="0"/>
          <w:sz w:val="32"/>
          <w:szCs w:val="32"/>
          <w:lang w:eastAsia="zh-CN"/>
        </w:rPr>
        <w:t>通过</w:t>
      </w:r>
      <w:r>
        <w:rPr>
          <w:rFonts w:ascii="仿宋_GB2312" w:hAnsi="仿宋_GB2312" w:eastAsia="仿宋_GB2312" w:cs="仿宋_GB2312"/>
          <w:b w:val="0"/>
          <w:bCs w:val="0"/>
          <w:sz w:val="32"/>
          <w:szCs w:val="32"/>
        </w:rPr>
        <w:t>时尚表达走进年轻人的日常。</w:t>
      </w:r>
    </w:p>
    <w:p w14:paraId="747B2D20">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hint="eastAsia" w:ascii="楷体" w:hAnsi="楷体" w:eastAsia="楷体" w:cs="楷体"/>
          <w:b w:val="0"/>
          <w:bCs w:val="0"/>
          <w:sz w:val="32"/>
          <w:szCs w:val="32"/>
        </w:rPr>
        <w:t>（九）文化长廊新空间。</w:t>
      </w:r>
      <w:r>
        <w:rPr>
          <w:rFonts w:ascii="仿宋_GB2312" w:hAnsi="仿宋_GB2312" w:eastAsia="仿宋_GB2312" w:cs="仿宋_GB2312"/>
          <w:b w:val="0"/>
          <w:bCs w:val="0"/>
          <w:sz w:val="32"/>
          <w:szCs w:val="32"/>
        </w:rPr>
        <w:t>以“串珠成链、以文润城”为核心，依托城市绿道、滨水岸线、历史街巷等线性空间，通过文化标识、景观小品、展陈装置、数字交互等手段，将分散的文化资源、历史遗存与公共空间串联起来，打造可游、可赏、可读的开放式文化体验带。围绕古城墙、大运河等轴线，</w:t>
      </w:r>
      <w:r>
        <w:rPr>
          <w:rFonts w:hint="eastAsia" w:cs="仿宋_GB2312"/>
          <w:b w:val="0"/>
          <w:bCs w:val="0"/>
          <w:sz w:val="32"/>
          <w:szCs w:val="32"/>
          <w:lang w:eastAsia="zh-CN"/>
        </w:rPr>
        <w:t>以及各地自主打造的经典路线、市集片区等开展</w:t>
      </w:r>
      <w:r>
        <w:rPr>
          <w:rFonts w:ascii="仿宋_GB2312" w:hAnsi="仿宋_GB2312" w:eastAsia="仿宋_GB2312" w:cs="仿宋_GB2312"/>
          <w:b w:val="0"/>
          <w:bCs w:val="0"/>
          <w:sz w:val="32"/>
          <w:szCs w:val="32"/>
        </w:rPr>
        <w:t>常态化</w:t>
      </w:r>
      <w:r>
        <w:rPr>
          <w:rFonts w:hint="eastAsia" w:cs="仿宋_GB2312"/>
          <w:b w:val="0"/>
          <w:bCs w:val="0"/>
          <w:sz w:val="32"/>
          <w:szCs w:val="32"/>
          <w:lang w:eastAsia="zh-CN"/>
        </w:rPr>
        <w:t>的文旅</w:t>
      </w:r>
      <w:r>
        <w:rPr>
          <w:rFonts w:ascii="仿宋_GB2312" w:hAnsi="仿宋_GB2312" w:eastAsia="仿宋_GB2312" w:cs="仿宋_GB2312"/>
          <w:b w:val="0"/>
          <w:bCs w:val="0"/>
          <w:sz w:val="32"/>
          <w:szCs w:val="32"/>
        </w:rPr>
        <w:t>活动，让市民游客在漫步穿行中感知江南文化脉络。</w:t>
      </w:r>
    </w:p>
    <w:p w14:paraId="75727D04">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 xml:space="preserve">第六条  </w:t>
      </w:r>
      <w:r>
        <w:rPr>
          <w:rFonts w:ascii="仿宋_GB2312" w:hAnsi="仿宋_GB2312" w:eastAsia="仿宋_GB2312" w:cs="仿宋_GB2312"/>
          <w:b w:val="0"/>
          <w:bCs w:val="0"/>
          <w:sz w:val="32"/>
          <w:szCs w:val="32"/>
        </w:rPr>
        <w:t>苏州市新型文化空间焕新培育各项工作遵循以下原则要求：</w:t>
      </w:r>
    </w:p>
    <w:p w14:paraId="1A260FF3">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r>
        <w:rPr>
          <w:rFonts w:hint="eastAsia" w:ascii="楷体" w:hAnsi="楷体" w:eastAsia="楷体" w:cs="楷体"/>
          <w:b w:val="0"/>
          <w:bCs w:val="0"/>
          <w:sz w:val="32"/>
          <w:szCs w:val="32"/>
        </w:rPr>
        <w:t>（一）因地制宜、务实节俭。</w:t>
      </w:r>
      <w:r>
        <w:rPr>
          <w:rFonts w:ascii="仿宋_GB2312" w:hAnsi="仿宋_GB2312" w:eastAsia="仿宋_GB2312" w:cs="仿宋_GB2312"/>
          <w:b w:val="0"/>
          <w:bCs w:val="0"/>
          <w:sz w:val="32"/>
          <w:szCs w:val="32"/>
        </w:rPr>
        <w:t>结合城市更新、乡村振兴、“一刻钟幸福生活圈”建设、总分馆服务体系升级等既定工作，加强同属地、部门和业主单位沟通协作，以优质文化产品与公共服务助力存量房屋与低效用地的改造利用，坚决防止大拆大建、贪大求洋。</w:t>
      </w:r>
    </w:p>
    <w:p w14:paraId="6931DB87">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hint="eastAsia" w:ascii="楷体" w:hAnsi="楷体" w:eastAsia="楷体" w:cs="楷体"/>
          <w:b w:val="0"/>
          <w:bCs w:val="0"/>
          <w:sz w:val="32"/>
          <w:szCs w:val="32"/>
        </w:rPr>
        <w:t>（二）主客共享、注重实效。</w:t>
      </w:r>
      <w:r>
        <w:rPr>
          <w:rFonts w:ascii="仿宋_GB2312" w:hAnsi="仿宋_GB2312" w:eastAsia="仿宋_GB2312" w:cs="仿宋_GB2312"/>
          <w:b w:val="0"/>
          <w:bCs w:val="0"/>
          <w:sz w:val="32"/>
          <w:szCs w:val="32"/>
        </w:rPr>
        <w:t>突出城市高质量发展主题和内涵式发展主线，充分考虑城乡居民、各地游客，尤其是特殊群体和未落户常住人口的个性化需求，通过增设无障碍、多语种等设施设备，有效承载各类优质文化资源、常态化提供高品质</w:t>
      </w:r>
      <w:r>
        <w:rPr>
          <w:rFonts w:hint="eastAsia" w:cs="仿宋_GB2312"/>
          <w:b w:val="0"/>
          <w:bCs w:val="0"/>
          <w:sz w:val="32"/>
          <w:szCs w:val="32"/>
          <w:lang w:eastAsia="zh-CN"/>
        </w:rPr>
        <w:t>的</w:t>
      </w:r>
      <w:r>
        <w:rPr>
          <w:rFonts w:ascii="仿宋_GB2312" w:hAnsi="仿宋_GB2312" w:eastAsia="仿宋_GB2312" w:cs="仿宋_GB2312"/>
          <w:b w:val="0"/>
          <w:bCs w:val="0"/>
          <w:sz w:val="32"/>
          <w:szCs w:val="32"/>
        </w:rPr>
        <w:t>公共服务。</w:t>
      </w:r>
    </w:p>
    <w:p w14:paraId="68A038EA">
      <w:pPr>
        <w:keepNext w:val="0"/>
        <w:keepLines w:val="0"/>
        <w:pageBreakBefore w:val="0"/>
        <w:numPr>
          <w:ilvl w:val="0"/>
          <w:numId w:val="0"/>
        </w:numPr>
        <w:kinsoku/>
        <w:wordWrap/>
        <w:overflowPunct/>
        <w:topLinePunct w:val="0"/>
        <w:autoSpaceDE/>
        <w:autoSpaceDN/>
        <w:bidi w:val="0"/>
        <w:adjustRightInd/>
        <w:spacing w:before="0" w:after="0" w:line="580" w:lineRule="exact"/>
        <w:ind w:firstLine="640" w:firstLineChars="200"/>
        <w:textAlignment w:val="auto"/>
        <w:rPr>
          <w:rFonts w:ascii="仿宋_GB2312" w:hAnsi="仿宋_GB2312" w:eastAsia="仿宋_GB2312" w:cs="仿宋_GB2312"/>
          <w:b w:val="0"/>
          <w:bCs w:val="0"/>
          <w:sz w:val="32"/>
          <w:szCs w:val="32"/>
        </w:rPr>
      </w:pPr>
      <w:r>
        <w:rPr>
          <w:rFonts w:hint="eastAsia" w:ascii="楷体" w:hAnsi="楷体" w:eastAsia="楷体" w:cs="楷体"/>
          <w:b w:val="0"/>
          <w:bCs w:val="0"/>
          <w:sz w:val="32"/>
          <w:szCs w:val="32"/>
          <w:lang w:eastAsia="zh-CN"/>
        </w:rPr>
        <w:t>（三）</w:t>
      </w:r>
      <w:r>
        <w:rPr>
          <w:rFonts w:hint="eastAsia" w:ascii="楷体" w:hAnsi="楷体" w:eastAsia="楷体" w:cs="楷体"/>
          <w:b w:val="0"/>
          <w:bCs w:val="0"/>
          <w:sz w:val="32"/>
          <w:szCs w:val="32"/>
        </w:rPr>
        <w:t>创新机制、探索经验。</w:t>
      </w:r>
      <w:r>
        <w:rPr>
          <w:rFonts w:hint="eastAsia" w:ascii="仿宋_GB2312" w:hAnsi="仿宋_GB2312" w:eastAsia="仿宋_GB2312" w:cs="仿宋_GB2312"/>
          <w:b w:val="0"/>
          <w:bCs w:val="0"/>
          <w:sz w:val="32"/>
          <w:szCs w:val="32"/>
        </w:rPr>
        <w:t>鼓励社会力量</w:t>
      </w:r>
      <w:r>
        <w:rPr>
          <w:rFonts w:ascii="仿宋_GB2312" w:hAnsi="仿宋_GB2312" w:eastAsia="仿宋_GB2312" w:cs="仿宋_GB2312"/>
          <w:b w:val="0"/>
          <w:bCs w:val="0"/>
          <w:sz w:val="32"/>
          <w:szCs w:val="32"/>
        </w:rPr>
        <w:t>通过场地支持、合作共建、委托运营、志愿服务等</w:t>
      </w:r>
      <w:r>
        <w:rPr>
          <w:rFonts w:hint="eastAsia" w:cs="仿宋_GB2312"/>
          <w:b w:val="0"/>
          <w:bCs w:val="0"/>
          <w:sz w:val="32"/>
          <w:szCs w:val="32"/>
          <w:lang w:eastAsia="zh-CN"/>
        </w:rPr>
        <w:t>多种</w:t>
      </w:r>
      <w:r>
        <w:rPr>
          <w:rFonts w:ascii="仿宋_GB2312" w:hAnsi="仿宋_GB2312" w:eastAsia="仿宋_GB2312" w:cs="仿宋_GB2312"/>
          <w:b w:val="0"/>
          <w:bCs w:val="0"/>
          <w:sz w:val="32"/>
          <w:szCs w:val="32"/>
        </w:rPr>
        <w:t>方式</w:t>
      </w:r>
      <w:r>
        <w:rPr>
          <w:rFonts w:hint="eastAsia" w:ascii="仿宋_GB2312" w:hAnsi="仿宋_GB2312" w:eastAsia="仿宋_GB2312" w:cs="仿宋_GB2312"/>
          <w:b w:val="0"/>
          <w:bCs w:val="0"/>
          <w:sz w:val="32"/>
          <w:szCs w:val="32"/>
        </w:rPr>
        <w:t>参与新型文化空间的建设运营与服务供给</w:t>
      </w:r>
      <w:r>
        <w:rPr>
          <w:rFonts w:hint="eastAsia" w:cs="仿宋_GB2312"/>
          <w:b w:val="0"/>
          <w:bCs w:val="0"/>
          <w:sz w:val="32"/>
          <w:szCs w:val="32"/>
          <w:lang w:eastAsia="zh-CN"/>
        </w:rPr>
        <w:t>，探索创新建设运营与服务标准。</w:t>
      </w:r>
      <w:r>
        <w:rPr>
          <w:rFonts w:hint="eastAsia" w:ascii="仿宋_GB2312" w:hAnsi="仿宋_GB2312" w:eastAsia="仿宋_GB2312" w:cs="仿宋_GB2312"/>
          <w:b w:val="0"/>
          <w:bCs w:val="0"/>
          <w:sz w:val="32"/>
          <w:szCs w:val="32"/>
        </w:rPr>
        <w:t>健全监督评价与激励机制，</w:t>
      </w:r>
      <w:r>
        <w:rPr>
          <w:rFonts w:ascii="仿宋_GB2312" w:hAnsi="仿宋_GB2312" w:eastAsia="仿宋_GB2312" w:cs="仿宋_GB2312"/>
          <w:b w:val="0"/>
          <w:bCs w:val="0"/>
          <w:sz w:val="32"/>
          <w:szCs w:val="32"/>
        </w:rPr>
        <w:t>在</w:t>
      </w:r>
      <w:r>
        <w:rPr>
          <w:rFonts w:hint="eastAsia" w:cs="仿宋_GB2312"/>
          <w:b w:val="0"/>
          <w:bCs w:val="0"/>
          <w:sz w:val="32"/>
          <w:szCs w:val="32"/>
          <w:lang w:eastAsia="zh-CN"/>
        </w:rPr>
        <w:t>宣传推广</w:t>
      </w:r>
      <w:r>
        <w:rPr>
          <w:rFonts w:ascii="仿宋_GB2312" w:hAnsi="仿宋_GB2312" w:eastAsia="仿宋_GB2312" w:cs="仿宋_GB2312"/>
          <w:b w:val="0"/>
          <w:bCs w:val="0"/>
          <w:sz w:val="32"/>
          <w:szCs w:val="32"/>
        </w:rPr>
        <w:t>、</w:t>
      </w:r>
      <w:r>
        <w:rPr>
          <w:rFonts w:hint="eastAsia" w:cs="仿宋_GB2312"/>
          <w:b w:val="0"/>
          <w:bCs w:val="0"/>
          <w:sz w:val="32"/>
          <w:szCs w:val="32"/>
          <w:lang w:eastAsia="zh-CN"/>
        </w:rPr>
        <w:t>服务接入</w:t>
      </w:r>
      <w:r>
        <w:rPr>
          <w:rFonts w:ascii="仿宋_GB2312" w:hAnsi="仿宋_GB2312" w:eastAsia="仿宋_GB2312" w:cs="仿宋_GB2312"/>
          <w:b w:val="0"/>
          <w:bCs w:val="0"/>
          <w:sz w:val="32"/>
          <w:szCs w:val="32"/>
        </w:rPr>
        <w:t>、案例推荐等方面</w:t>
      </w:r>
      <w:r>
        <w:rPr>
          <w:rFonts w:hint="eastAsia" w:cs="仿宋_GB2312"/>
          <w:b w:val="0"/>
          <w:bCs w:val="0"/>
          <w:sz w:val="32"/>
          <w:szCs w:val="32"/>
          <w:lang w:eastAsia="zh-CN"/>
        </w:rPr>
        <w:t>给予</w:t>
      </w:r>
      <w:r>
        <w:rPr>
          <w:rFonts w:ascii="仿宋_GB2312" w:hAnsi="仿宋_GB2312" w:eastAsia="仿宋_GB2312" w:cs="仿宋_GB2312"/>
          <w:b w:val="0"/>
          <w:bCs w:val="0"/>
          <w:sz w:val="32"/>
          <w:szCs w:val="32"/>
        </w:rPr>
        <w:t>倾斜。</w:t>
      </w:r>
    </w:p>
    <w:p w14:paraId="412341B4">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p>
    <w:p w14:paraId="45925AA5">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p>
    <w:p w14:paraId="410F2DF0">
      <w:pPr>
        <w:keepNext w:val="0"/>
        <w:keepLines w:val="0"/>
        <w:pageBreakBefore w:val="0"/>
        <w:kinsoku/>
        <w:wordWrap/>
        <w:overflowPunct/>
        <w:topLinePunct w:val="0"/>
        <w:autoSpaceDE/>
        <w:autoSpaceDN/>
        <w:bidi w:val="0"/>
        <w:adjustRightInd/>
        <w:spacing w:before="0" w:after="0" w:line="580" w:lineRule="exact"/>
        <w:jc w:val="center"/>
        <w:textAlignment w:val="auto"/>
        <w:rPr>
          <w:sz w:val="32"/>
          <w:szCs w:val="32"/>
        </w:rPr>
      </w:pPr>
      <w:r>
        <w:rPr>
          <w:rFonts w:ascii="黑体" w:hAnsi="黑体" w:eastAsia="黑体" w:cs="黑体"/>
          <w:b/>
          <w:bCs/>
          <w:sz w:val="32"/>
          <w:szCs w:val="32"/>
        </w:rPr>
        <w:t xml:space="preserve">第三章  </w:t>
      </w:r>
      <w:r>
        <w:rPr>
          <w:rFonts w:hint="eastAsia" w:ascii="黑体" w:hAnsi="黑体" w:eastAsia="黑体" w:cs="黑体"/>
          <w:b/>
          <w:bCs/>
          <w:sz w:val="32"/>
          <w:szCs w:val="32"/>
          <w:lang w:eastAsia="zh-CN"/>
        </w:rPr>
        <w:t>申报</w:t>
      </w:r>
      <w:r>
        <w:rPr>
          <w:rFonts w:ascii="黑体" w:hAnsi="黑体" w:eastAsia="黑体" w:cs="黑体"/>
          <w:b/>
          <w:bCs/>
          <w:sz w:val="32"/>
          <w:szCs w:val="32"/>
        </w:rPr>
        <w:t>遴选与奖补标准</w:t>
      </w:r>
    </w:p>
    <w:p w14:paraId="492ED53D">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 xml:space="preserve">第七条  </w:t>
      </w:r>
      <w:r>
        <w:rPr>
          <w:rFonts w:ascii="仿宋_GB2312" w:hAnsi="仿宋_GB2312" w:eastAsia="仿宋_GB2312" w:cs="仿宋_GB2312"/>
          <w:b w:val="0"/>
          <w:bCs w:val="0"/>
          <w:sz w:val="32"/>
          <w:szCs w:val="32"/>
        </w:rPr>
        <w:t>苏州市新型文化空间焕新培育的</w:t>
      </w:r>
      <w:r>
        <w:rPr>
          <w:rFonts w:hint="eastAsia" w:cs="仿宋_GB2312"/>
          <w:b w:val="0"/>
          <w:bCs w:val="0"/>
          <w:sz w:val="32"/>
          <w:szCs w:val="32"/>
          <w:lang w:eastAsia="zh-CN"/>
        </w:rPr>
        <w:t>方案设计、流程规则</w:t>
      </w:r>
      <w:r>
        <w:rPr>
          <w:rFonts w:ascii="仿宋_GB2312" w:hAnsi="仿宋_GB2312" w:eastAsia="仿宋_GB2312" w:cs="仿宋_GB2312"/>
          <w:b w:val="0"/>
          <w:bCs w:val="0"/>
          <w:sz w:val="32"/>
          <w:szCs w:val="32"/>
        </w:rPr>
        <w:t>、</w:t>
      </w:r>
      <w:r>
        <w:rPr>
          <w:rFonts w:hint="eastAsia" w:cs="仿宋_GB2312"/>
          <w:b w:val="0"/>
          <w:bCs w:val="0"/>
          <w:sz w:val="32"/>
          <w:szCs w:val="32"/>
          <w:lang w:eastAsia="zh-CN"/>
        </w:rPr>
        <w:t>评审认定和</w:t>
      </w:r>
      <w:r>
        <w:rPr>
          <w:rFonts w:ascii="仿宋_GB2312" w:hAnsi="仿宋_GB2312" w:eastAsia="仿宋_GB2312" w:cs="仿宋_GB2312"/>
          <w:b w:val="0"/>
          <w:bCs w:val="0"/>
          <w:sz w:val="32"/>
          <w:szCs w:val="32"/>
        </w:rPr>
        <w:t>奖补工作由苏州市文化广电和旅游局主导实施，各县级市（区）文旅行政部门参与遴选、扎口申报，市、区两级</w:t>
      </w:r>
      <w:r>
        <w:rPr>
          <w:rFonts w:hint="eastAsia" w:cs="仿宋_GB2312"/>
          <w:b w:val="0"/>
          <w:bCs w:val="0"/>
          <w:sz w:val="32"/>
          <w:szCs w:val="32"/>
          <w:lang w:eastAsia="zh-CN"/>
        </w:rPr>
        <w:t>文化领域</w:t>
      </w:r>
      <w:r>
        <w:rPr>
          <w:rFonts w:ascii="仿宋_GB2312" w:hAnsi="仿宋_GB2312" w:eastAsia="仿宋_GB2312" w:cs="仿宋_GB2312"/>
          <w:b w:val="0"/>
          <w:bCs w:val="0"/>
          <w:sz w:val="32"/>
          <w:szCs w:val="32"/>
        </w:rPr>
        <w:t>中心馆协助开展制度标准、产品资源、数字平台、人才培训等内容的支撑与输出。</w:t>
      </w:r>
    </w:p>
    <w:p w14:paraId="27267342">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ascii="仿宋_GB2312" w:hAnsi="仿宋_GB2312" w:eastAsia="仿宋_GB2312" w:cs="仿宋_GB2312"/>
          <w:b w:val="0"/>
          <w:bCs w:val="0"/>
          <w:sz w:val="32"/>
          <w:szCs w:val="32"/>
          <w:lang w:eastAsia="zh-CN"/>
        </w:rPr>
      </w:pPr>
      <w:r>
        <w:rPr>
          <w:rFonts w:ascii="黑体" w:hAnsi="黑体" w:eastAsia="黑体" w:cs="黑体"/>
          <w:b w:val="0"/>
          <w:bCs w:val="0"/>
          <w:sz w:val="32"/>
          <w:szCs w:val="32"/>
        </w:rPr>
        <w:t xml:space="preserve">第八条  </w:t>
      </w:r>
      <w:r>
        <w:rPr>
          <w:rFonts w:ascii="仿宋_GB2312" w:hAnsi="仿宋_GB2312" w:eastAsia="仿宋_GB2312" w:cs="仿宋_GB2312"/>
          <w:b w:val="0"/>
          <w:bCs w:val="0"/>
          <w:sz w:val="32"/>
          <w:szCs w:val="32"/>
        </w:rPr>
        <w:t>苏州市新型文化空间焕新升级及其遴选</w:t>
      </w:r>
      <w:r>
        <w:rPr>
          <w:rFonts w:hint="eastAsia" w:cs="仿宋_GB2312"/>
          <w:b w:val="0"/>
          <w:bCs w:val="0"/>
          <w:sz w:val="32"/>
          <w:szCs w:val="32"/>
          <w:lang w:eastAsia="zh-CN"/>
        </w:rPr>
        <w:t>申报</w:t>
      </w:r>
      <w:r>
        <w:rPr>
          <w:rFonts w:ascii="仿宋_GB2312" w:hAnsi="仿宋_GB2312" w:eastAsia="仿宋_GB2312" w:cs="仿宋_GB2312"/>
          <w:b w:val="0"/>
          <w:bCs w:val="0"/>
          <w:sz w:val="32"/>
          <w:szCs w:val="32"/>
        </w:rPr>
        <w:t>工作，聚焦运营机制创新、使用效率提升、服务市民游客、助力文旅消费、品牌打造推广等实际成效，</w:t>
      </w:r>
      <w:r>
        <w:rPr>
          <w:rFonts w:hint="eastAsia" w:ascii="仿宋_GB2312" w:hAnsi="仿宋_GB2312" w:eastAsia="仿宋_GB2312" w:cs="仿宋_GB2312"/>
          <w:b w:val="0"/>
          <w:bCs w:val="0"/>
          <w:sz w:val="32"/>
          <w:szCs w:val="32"/>
        </w:rPr>
        <w:t>将社会力量参与度</w:t>
      </w:r>
      <w:r>
        <w:rPr>
          <w:rFonts w:hint="eastAsia" w:cs="仿宋_GB2312"/>
          <w:b w:val="0"/>
          <w:bCs w:val="0"/>
          <w:sz w:val="32"/>
          <w:szCs w:val="32"/>
          <w:lang w:eastAsia="zh-CN"/>
        </w:rPr>
        <w:t>及</w:t>
      </w:r>
      <w:r>
        <w:rPr>
          <w:rFonts w:hint="eastAsia" w:ascii="仿宋_GB2312" w:hAnsi="仿宋_GB2312" w:eastAsia="仿宋_GB2312" w:cs="仿宋_GB2312"/>
          <w:b w:val="0"/>
          <w:bCs w:val="0"/>
          <w:sz w:val="32"/>
          <w:szCs w:val="32"/>
        </w:rPr>
        <w:t>苏州文化呈现度作为重要</w:t>
      </w:r>
      <w:r>
        <w:rPr>
          <w:rFonts w:hint="eastAsia" w:cs="仿宋_GB2312"/>
          <w:b w:val="0"/>
          <w:bCs w:val="0"/>
          <w:sz w:val="32"/>
          <w:szCs w:val="32"/>
          <w:lang w:eastAsia="zh-CN"/>
        </w:rPr>
        <w:t>内容，</w:t>
      </w:r>
      <w:r>
        <w:rPr>
          <w:rFonts w:ascii="仿宋_GB2312" w:hAnsi="仿宋_GB2312" w:eastAsia="仿宋_GB2312" w:cs="仿宋_GB2312"/>
          <w:b w:val="0"/>
          <w:bCs w:val="0"/>
          <w:sz w:val="32"/>
          <w:szCs w:val="32"/>
        </w:rPr>
        <w:t>不以资金投入、建筑面积、造型装修等单一指标作为考察与评价重点。</w:t>
      </w:r>
    </w:p>
    <w:p w14:paraId="5520DAA8">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 xml:space="preserve">第九条  </w:t>
      </w:r>
      <w:r>
        <w:rPr>
          <w:rFonts w:ascii="仿宋_GB2312" w:hAnsi="仿宋_GB2312" w:eastAsia="仿宋_GB2312" w:cs="仿宋_GB2312"/>
          <w:b w:val="0"/>
          <w:bCs w:val="0"/>
          <w:sz w:val="32"/>
          <w:szCs w:val="32"/>
        </w:rPr>
        <w:t>苏州市新型文化空间焕新升级工作的申报、奖补对象为</w:t>
      </w:r>
      <w:r>
        <w:rPr>
          <w:rFonts w:hint="default" w:ascii="Times New Roman" w:hAnsi="Times New Roman" w:eastAsia="仿宋_GB2312" w:cs="Times New Roman"/>
          <w:b w:val="0"/>
          <w:bCs w:val="0"/>
          <w:sz w:val="32"/>
          <w:szCs w:val="32"/>
        </w:rPr>
        <w:t>2025</w:t>
      </w:r>
      <w:r>
        <w:rPr>
          <w:rFonts w:ascii="仿宋_GB2312" w:hAnsi="仿宋_GB2312" w:eastAsia="仿宋_GB2312" w:cs="仿宋_GB2312"/>
          <w:b w:val="0"/>
          <w:bCs w:val="0"/>
          <w:sz w:val="32"/>
          <w:szCs w:val="32"/>
        </w:rPr>
        <w:t>年以来，通过改造、更新、活化、共享，实现空间焕新、服务升级的场馆设施与开放空间的建设、运营或主理机构，突出由社会力量参与建设运营的核心导向。基本条件包括：</w:t>
      </w:r>
    </w:p>
    <w:p w14:paraId="77C3963E">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仿宋_GB2312" w:hAnsi="仿宋_GB2312" w:eastAsia="仿宋_GB2312" w:cs="仿宋_GB2312"/>
          <w:b w:val="0"/>
          <w:bCs w:val="0"/>
          <w:sz w:val="32"/>
          <w:szCs w:val="32"/>
        </w:rPr>
        <w:t>（一）依法成立的企业、社会组织，公益一类、二类和从事生产经营活动的文化事业单位；</w:t>
      </w:r>
    </w:p>
    <w:p w14:paraId="3300C505">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仿宋_GB2312" w:hAnsi="仿宋_GB2312" w:eastAsia="仿宋_GB2312" w:cs="仿宋_GB2312"/>
          <w:b w:val="0"/>
          <w:bCs w:val="0"/>
          <w:sz w:val="32"/>
          <w:szCs w:val="32"/>
        </w:rPr>
        <w:t>（二）空间稳定开放、运营满</w:t>
      </w:r>
      <w:r>
        <w:rPr>
          <w:rFonts w:hint="eastAsia" w:cs="仿宋_GB2312"/>
          <w:b w:val="0"/>
          <w:bCs w:val="0"/>
          <w:sz w:val="32"/>
          <w:szCs w:val="32"/>
          <w:lang w:eastAsia="zh-CN"/>
        </w:rPr>
        <w:t>一</w:t>
      </w:r>
      <w:r>
        <w:rPr>
          <w:rFonts w:ascii="仿宋_GB2312" w:hAnsi="仿宋_GB2312" w:eastAsia="仿宋_GB2312" w:cs="仿宋_GB2312"/>
          <w:b w:val="0"/>
          <w:bCs w:val="0"/>
          <w:sz w:val="32"/>
          <w:szCs w:val="32"/>
        </w:rPr>
        <w:t>年</w:t>
      </w:r>
      <w:r>
        <w:rPr>
          <w:rFonts w:hint="eastAsia" w:cs="仿宋_GB2312"/>
          <w:b w:val="0"/>
          <w:bCs w:val="0"/>
          <w:sz w:val="32"/>
          <w:szCs w:val="32"/>
          <w:lang w:eastAsia="zh-CN"/>
        </w:rPr>
        <w:t>以上</w:t>
      </w:r>
      <w:r>
        <w:rPr>
          <w:rFonts w:ascii="仿宋_GB2312" w:hAnsi="仿宋_GB2312" w:eastAsia="仿宋_GB2312" w:cs="仿宋_GB2312"/>
          <w:b w:val="0"/>
          <w:bCs w:val="0"/>
          <w:sz w:val="32"/>
          <w:szCs w:val="32"/>
        </w:rPr>
        <w:t>时间，定期开展公共文化活动、产生良好服务成效与社会影响；空间主理人有理念、有情怀、懂运营、敢创新，在同等条件下优先支持。</w:t>
      </w:r>
    </w:p>
    <w:p w14:paraId="5B6BAFE0">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r>
        <w:rPr>
          <w:rFonts w:ascii="仿宋_GB2312" w:hAnsi="仿宋_GB2312" w:eastAsia="仿宋_GB2312" w:cs="仿宋_GB2312"/>
          <w:b w:val="0"/>
          <w:bCs w:val="0"/>
          <w:sz w:val="32"/>
          <w:szCs w:val="32"/>
        </w:rPr>
        <w:t>（三）管理安全有序，近两年内未发生过生产安全责任事故，未引发负面舆情、造成不良影响。</w:t>
      </w:r>
    </w:p>
    <w:p w14:paraId="5ABA6675">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cs="仿宋_GB2312"/>
          <w:b w:val="0"/>
          <w:bCs w:val="0"/>
          <w:color w:val="000000" w:themeColor="text1"/>
          <w:sz w:val="32"/>
          <w:szCs w:val="32"/>
          <w:lang w:eastAsia="zh-CN"/>
          <w14:textFill>
            <w14:solidFill>
              <w14:schemeClr w14:val="tx1"/>
            </w14:solidFill>
          </w14:textFill>
        </w:rPr>
      </w:pPr>
      <w:r>
        <w:rPr>
          <w:rFonts w:hint="eastAsia" w:cs="仿宋_GB2312"/>
          <w:b w:val="0"/>
          <w:bCs w:val="0"/>
          <w:color w:val="000000" w:themeColor="text1"/>
          <w:sz w:val="32"/>
          <w:szCs w:val="32"/>
          <w:lang w:eastAsia="zh-CN"/>
          <w14:textFill>
            <w14:solidFill>
              <w14:schemeClr w14:val="tx1"/>
            </w14:solidFill>
          </w14:textFill>
        </w:rPr>
        <w:t>在同等条件下，具备以下要素的新型文化空间可予优先支持：</w:t>
      </w:r>
    </w:p>
    <w:p w14:paraId="3443F011">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default" w:cs="仿宋_GB2312"/>
          <w:b w:val="0"/>
          <w:bCs w:val="0"/>
          <w:color w:val="000000" w:themeColor="text1"/>
          <w:sz w:val="32"/>
          <w:szCs w:val="32"/>
          <w:lang w:val="en-US" w:eastAsia="zh-CN"/>
          <w14:textFill>
            <w14:solidFill>
              <w14:schemeClr w14:val="tx1"/>
            </w14:solidFill>
          </w14:textFill>
        </w:rPr>
      </w:pPr>
      <w:r>
        <w:rPr>
          <w:rFonts w:hint="eastAsia" w:cs="仿宋_GB2312"/>
          <w:b w:val="0"/>
          <w:bCs w:val="0"/>
          <w:color w:val="000000" w:themeColor="text1"/>
          <w:sz w:val="32"/>
          <w:szCs w:val="32"/>
          <w:lang w:eastAsia="zh-CN"/>
          <w14:textFill>
            <w14:solidFill>
              <w14:schemeClr w14:val="tx1"/>
            </w14:solidFill>
          </w14:textFill>
        </w:rPr>
        <w:t>（一）由知名文旅企业、文化名人、</w:t>
      </w:r>
      <w:r>
        <w:rPr>
          <w:rFonts w:hint="default" w:ascii="Times New Roman" w:hAnsi="Times New Roman" w:cs="Times New Roman"/>
          <w:b w:val="0"/>
          <w:bCs w:val="0"/>
          <w:color w:val="000000" w:themeColor="text1"/>
          <w:sz w:val="32"/>
          <w:szCs w:val="32"/>
          <w:lang w:val="en-US" w:eastAsia="zh-CN"/>
          <w14:textFill>
            <w14:solidFill>
              <w14:schemeClr w14:val="tx1"/>
            </w14:solidFill>
          </w14:textFill>
        </w:rPr>
        <w:t>A</w:t>
      </w:r>
      <w:r>
        <w:rPr>
          <w:rFonts w:hint="eastAsia" w:cs="仿宋_GB2312"/>
          <w:b w:val="0"/>
          <w:bCs w:val="0"/>
          <w:color w:val="000000" w:themeColor="text1"/>
          <w:sz w:val="32"/>
          <w:szCs w:val="32"/>
          <w:lang w:val="en-US" w:eastAsia="zh-CN"/>
          <w14:textFill>
            <w14:solidFill>
              <w14:schemeClr w14:val="tx1"/>
            </w14:solidFill>
          </w14:textFill>
        </w:rPr>
        <w:t>级社会组织等头部机构、主理团队参与建设、运营的；</w:t>
      </w:r>
    </w:p>
    <w:p w14:paraId="656BAEF1">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cs="仿宋_GB2312"/>
          <w:b w:val="0"/>
          <w:bCs w:val="0"/>
          <w:color w:val="000000" w:themeColor="text1"/>
          <w:sz w:val="32"/>
          <w:szCs w:val="32"/>
          <w:lang w:eastAsia="zh-CN"/>
          <w14:textFill>
            <w14:solidFill>
              <w14:schemeClr w14:val="tx1"/>
            </w14:solidFill>
          </w14:textFill>
        </w:rPr>
      </w:pPr>
      <w:r>
        <w:rPr>
          <w:rFonts w:hint="eastAsia" w:cs="仿宋_GB2312"/>
          <w:b w:val="0"/>
          <w:bCs w:val="0"/>
          <w:color w:val="000000" w:themeColor="text1"/>
          <w:sz w:val="32"/>
          <w:szCs w:val="32"/>
          <w:lang w:eastAsia="zh-CN"/>
          <w14:textFill>
            <w14:solidFill>
              <w14:schemeClr w14:val="tx1"/>
            </w14:solidFill>
          </w14:textFill>
        </w:rPr>
        <w:t>（二）常态化承接品牌文旅活动项目，或在实践中逐步形成自身品牌，取得良好社会效应的；</w:t>
      </w:r>
    </w:p>
    <w:p w14:paraId="696C073B">
      <w:pPr>
        <w:keepNext w:val="0"/>
        <w:keepLines w:val="0"/>
        <w:pageBreakBefore w:val="0"/>
        <w:kinsoku/>
        <w:wordWrap/>
        <w:overflowPunct/>
        <w:topLinePunct w:val="0"/>
        <w:autoSpaceDE/>
        <w:autoSpaceDN/>
        <w:bidi w:val="0"/>
        <w:adjustRightInd/>
        <w:spacing w:before="0" w:after="0" w:line="580" w:lineRule="exact"/>
        <w:ind w:firstLine="640"/>
        <w:textAlignment w:val="auto"/>
        <w:rPr>
          <w:rFonts w:hint="eastAsia" w:cs="仿宋_GB2312"/>
          <w:b w:val="0"/>
          <w:bCs w:val="0"/>
          <w:color w:val="000000" w:themeColor="text1"/>
          <w:sz w:val="32"/>
          <w:szCs w:val="32"/>
          <w:lang w:eastAsia="zh-CN"/>
          <w14:textFill>
            <w14:solidFill>
              <w14:schemeClr w14:val="tx1"/>
            </w14:solidFill>
          </w14:textFill>
        </w:rPr>
      </w:pPr>
      <w:r>
        <w:rPr>
          <w:rFonts w:hint="eastAsia" w:cs="仿宋_GB2312"/>
          <w:b w:val="0"/>
          <w:bCs w:val="0"/>
          <w:color w:val="000000" w:themeColor="text1"/>
          <w:sz w:val="32"/>
          <w:szCs w:val="32"/>
          <w:lang w:eastAsia="zh-CN"/>
          <w14:textFill>
            <w14:solidFill>
              <w14:schemeClr w14:val="tx1"/>
            </w14:solidFill>
          </w14:textFill>
        </w:rPr>
        <w:t>（三）在传播、展示苏州文化，助力业态、人才培养，赋能文创、消费方面取得显著成效的。</w:t>
      </w:r>
    </w:p>
    <w:p w14:paraId="024212CA">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 xml:space="preserve">第十条  </w:t>
      </w:r>
      <w:r>
        <w:rPr>
          <w:rFonts w:ascii="仿宋_GB2312" w:hAnsi="仿宋_GB2312" w:eastAsia="仿宋_GB2312" w:cs="仿宋_GB2312"/>
          <w:b w:val="0"/>
          <w:bCs w:val="0"/>
          <w:sz w:val="32"/>
          <w:szCs w:val="32"/>
        </w:rPr>
        <w:t>苏州市文化广电和旅游局组织第三方专家对申报空间进行集中评审</w:t>
      </w:r>
      <w:r>
        <w:rPr>
          <w:rFonts w:hint="eastAsia" w:cs="仿宋_GB2312"/>
          <w:b w:val="0"/>
          <w:bCs w:val="0"/>
          <w:sz w:val="32"/>
          <w:szCs w:val="32"/>
          <w:lang w:eastAsia="zh-CN"/>
        </w:rPr>
        <w:t>，经局机关负责人集体审议后向社会公示</w:t>
      </w:r>
      <w:r>
        <w:rPr>
          <w:rFonts w:ascii="仿宋_GB2312" w:hAnsi="仿宋_GB2312" w:eastAsia="仿宋_GB2312" w:cs="仿宋_GB2312"/>
          <w:b w:val="0"/>
          <w:bCs w:val="0"/>
          <w:sz w:val="32"/>
          <w:szCs w:val="32"/>
        </w:rPr>
        <w:t>。评审中充分考量社会力量参与度的深浅与苏州文化元素呈现度的优劣，对由社会力量参与建设运营、苏州特色文化融入突出、发展可持续的空间予以优先支持。</w:t>
      </w:r>
    </w:p>
    <w:p w14:paraId="05FF1782">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 xml:space="preserve">第十一条  </w:t>
      </w:r>
      <w:r>
        <w:rPr>
          <w:rFonts w:ascii="仿宋_GB2312" w:hAnsi="仿宋_GB2312" w:eastAsia="仿宋_GB2312" w:cs="仿宋_GB2312"/>
          <w:b w:val="0"/>
          <w:bCs w:val="0"/>
          <w:sz w:val="32"/>
          <w:szCs w:val="32"/>
        </w:rPr>
        <w:t>对获评市级新型文化空间的，每家给予一万元一次性奖补；在此基础上，获评省级空间类案例、荣誉的，每家给予三万元一次性奖补；获评国家级空间类案例、荣誉的，每家给予五万元一次性奖补。</w:t>
      </w:r>
    </w:p>
    <w:p w14:paraId="108C1695">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r>
        <w:rPr>
          <w:rFonts w:ascii="黑体" w:hAnsi="黑体" w:eastAsia="黑体" w:cs="黑体"/>
          <w:b w:val="0"/>
          <w:bCs w:val="0"/>
          <w:sz w:val="32"/>
          <w:szCs w:val="32"/>
        </w:rPr>
        <w:t xml:space="preserve">第十二条  </w:t>
      </w:r>
      <w:r>
        <w:rPr>
          <w:rFonts w:ascii="仿宋_GB2312" w:hAnsi="仿宋_GB2312" w:eastAsia="仿宋_GB2312" w:cs="仿宋_GB2312"/>
          <w:b w:val="0"/>
          <w:bCs w:val="0"/>
          <w:sz w:val="32"/>
          <w:szCs w:val="32"/>
        </w:rPr>
        <w:t>由市本级财政补贴或奖励的空间建设类项目，不得重复享受上述奖补。</w:t>
      </w:r>
    </w:p>
    <w:p w14:paraId="065C3524">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 xml:space="preserve">第十三条  </w:t>
      </w:r>
      <w:r>
        <w:rPr>
          <w:rFonts w:ascii="仿宋_GB2312" w:hAnsi="仿宋_GB2312" w:eastAsia="仿宋_GB2312" w:cs="仿宋_GB2312"/>
          <w:b w:val="0"/>
          <w:bCs w:val="0"/>
          <w:sz w:val="32"/>
          <w:szCs w:val="32"/>
        </w:rPr>
        <w:t>奖补经费专项用于空间改造、设备升级与服务（活动）项目采购，主动接受财政、审计部门监管和社会公众监督。</w:t>
      </w:r>
    </w:p>
    <w:p w14:paraId="394C43D4">
      <w:pPr>
        <w:keepNext w:val="0"/>
        <w:keepLines w:val="0"/>
        <w:pageBreakBefore w:val="0"/>
        <w:kinsoku/>
        <w:wordWrap/>
        <w:overflowPunct/>
        <w:topLinePunct w:val="0"/>
        <w:autoSpaceDE/>
        <w:autoSpaceDN/>
        <w:bidi w:val="0"/>
        <w:adjustRightInd/>
        <w:spacing w:before="0" w:after="0" w:line="580" w:lineRule="exact"/>
        <w:textAlignment w:val="auto"/>
        <w:rPr>
          <w:rFonts w:ascii="仿宋_GB2312" w:hAnsi="仿宋_GB2312" w:eastAsia="仿宋_GB2312" w:cs="仿宋_GB2312"/>
          <w:b w:val="0"/>
          <w:bCs w:val="0"/>
          <w:sz w:val="32"/>
          <w:szCs w:val="32"/>
        </w:rPr>
      </w:pPr>
    </w:p>
    <w:p w14:paraId="3F2944FB">
      <w:pPr>
        <w:keepNext w:val="0"/>
        <w:keepLines w:val="0"/>
        <w:pageBreakBefore w:val="0"/>
        <w:kinsoku/>
        <w:wordWrap/>
        <w:overflowPunct/>
        <w:topLinePunct w:val="0"/>
        <w:autoSpaceDE/>
        <w:autoSpaceDN/>
        <w:bidi w:val="0"/>
        <w:adjustRightInd/>
        <w:spacing w:before="0" w:after="0" w:line="580" w:lineRule="exact"/>
        <w:jc w:val="center"/>
        <w:textAlignment w:val="auto"/>
        <w:rPr>
          <w:sz w:val="32"/>
          <w:szCs w:val="32"/>
        </w:rPr>
      </w:pPr>
      <w:r>
        <w:rPr>
          <w:rFonts w:ascii="黑体" w:hAnsi="黑体" w:eastAsia="黑体" w:cs="黑体"/>
          <w:b/>
          <w:bCs/>
          <w:sz w:val="32"/>
          <w:szCs w:val="32"/>
        </w:rPr>
        <w:t>第四章</w:t>
      </w:r>
      <w:r>
        <w:rPr>
          <w:rFonts w:hint="eastAsia" w:ascii="黑体" w:hAnsi="黑体" w:eastAsia="黑体" w:cs="黑体"/>
          <w:b/>
          <w:bCs/>
          <w:sz w:val="32"/>
          <w:szCs w:val="32"/>
          <w:lang w:val="en-US" w:eastAsia="zh-CN"/>
        </w:rPr>
        <w:t xml:space="preserve">  </w:t>
      </w:r>
      <w:r>
        <w:rPr>
          <w:rFonts w:ascii="黑体" w:hAnsi="黑体" w:eastAsia="黑体" w:cs="黑体"/>
          <w:b/>
          <w:bCs/>
          <w:sz w:val="32"/>
          <w:szCs w:val="32"/>
        </w:rPr>
        <w:t>附  则</w:t>
      </w:r>
    </w:p>
    <w:p w14:paraId="5F373F84">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第十</w:t>
      </w:r>
      <w:r>
        <w:rPr>
          <w:rFonts w:hint="eastAsia" w:ascii="黑体" w:hAnsi="黑体" w:eastAsia="黑体" w:cs="黑体"/>
          <w:b w:val="0"/>
          <w:bCs w:val="0"/>
          <w:sz w:val="32"/>
          <w:szCs w:val="32"/>
          <w:lang w:eastAsia="zh-CN"/>
        </w:rPr>
        <w:t>四</w:t>
      </w:r>
      <w:r>
        <w:rPr>
          <w:rFonts w:ascii="黑体" w:hAnsi="黑体" w:eastAsia="黑体" w:cs="黑体"/>
          <w:b w:val="0"/>
          <w:bCs w:val="0"/>
          <w:sz w:val="32"/>
          <w:szCs w:val="32"/>
        </w:rPr>
        <w:t xml:space="preserve">条  </w:t>
      </w:r>
      <w:r>
        <w:rPr>
          <w:rFonts w:ascii="仿宋_GB2312" w:hAnsi="仿宋_GB2312" w:eastAsia="仿宋_GB2312" w:cs="仿宋_GB2312"/>
          <w:b w:val="0"/>
          <w:bCs w:val="0"/>
          <w:sz w:val="32"/>
          <w:szCs w:val="32"/>
        </w:rPr>
        <w:t>苏州市新型文化空间焕新培育奖补资金，列入财政预算管理</w:t>
      </w:r>
      <w:r>
        <w:rPr>
          <w:rFonts w:hint="eastAsia" w:cs="仿宋_GB2312"/>
          <w:b w:val="0"/>
          <w:bCs w:val="0"/>
          <w:sz w:val="32"/>
          <w:szCs w:val="32"/>
          <w:lang w:eastAsia="zh-CN"/>
        </w:rPr>
        <w:t>与绩效评价</w:t>
      </w:r>
      <w:r>
        <w:rPr>
          <w:rFonts w:ascii="仿宋_GB2312" w:hAnsi="仿宋_GB2312" w:eastAsia="仿宋_GB2312" w:cs="仿宋_GB2312"/>
          <w:b w:val="0"/>
          <w:bCs w:val="0"/>
          <w:sz w:val="32"/>
          <w:szCs w:val="32"/>
        </w:rPr>
        <w:t>。</w:t>
      </w:r>
    </w:p>
    <w:p w14:paraId="127F79FE">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第十</w:t>
      </w:r>
      <w:r>
        <w:rPr>
          <w:rFonts w:hint="eastAsia" w:ascii="黑体" w:hAnsi="黑体" w:eastAsia="黑体" w:cs="黑体"/>
          <w:b w:val="0"/>
          <w:bCs w:val="0"/>
          <w:sz w:val="32"/>
          <w:szCs w:val="32"/>
          <w:lang w:eastAsia="zh-CN"/>
        </w:rPr>
        <w:t>五</w:t>
      </w:r>
      <w:r>
        <w:rPr>
          <w:rFonts w:ascii="黑体" w:hAnsi="黑体" w:eastAsia="黑体" w:cs="黑体"/>
          <w:b w:val="0"/>
          <w:bCs w:val="0"/>
          <w:sz w:val="32"/>
          <w:szCs w:val="32"/>
        </w:rPr>
        <w:t xml:space="preserve">条  </w:t>
      </w:r>
      <w:r>
        <w:rPr>
          <w:rFonts w:ascii="仿宋_GB2312" w:hAnsi="仿宋_GB2312" w:eastAsia="仿宋_GB2312" w:cs="仿宋_GB2312"/>
          <w:b w:val="0"/>
          <w:bCs w:val="0"/>
          <w:sz w:val="32"/>
          <w:szCs w:val="32"/>
        </w:rPr>
        <w:t>每次遴选评定可根据本工作指引制订具体实施方案。</w:t>
      </w:r>
    </w:p>
    <w:p w14:paraId="39385B5B">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第十</w:t>
      </w:r>
      <w:r>
        <w:rPr>
          <w:rFonts w:hint="eastAsia" w:ascii="黑体" w:hAnsi="黑体" w:eastAsia="黑体" w:cs="黑体"/>
          <w:b w:val="0"/>
          <w:bCs w:val="0"/>
          <w:sz w:val="32"/>
          <w:szCs w:val="32"/>
          <w:lang w:eastAsia="zh-CN"/>
        </w:rPr>
        <w:t>六</w:t>
      </w:r>
      <w:r>
        <w:rPr>
          <w:rFonts w:ascii="黑体" w:hAnsi="黑体" w:eastAsia="黑体" w:cs="黑体"/>
          <w:b w:val="0"/>
          <w:bCs w:val="0"/>
          <w:sz w:val="32"/>
          <w:szCs w:val="32"/>
        </w:rPr>
        <w:t xml:space="preserve">条  </w:t>
      </w:r>
      <w:r>
        <w:rPr>
          <w:rFonts w:ascii="仿宋_GB2312" w:hAnsi="仿宋_GB2312" w:eastAsia="仿宋_GB2312" w:cs="仿宋_GB2312"/>
          <w:b w:val="0"/>
          <w:bCs w:val="0"/>
          <w:sz w:val="32"/>
          <w:szCs w:val="32"/>
        </w:rPr>
        <w:t>本工作指引由苏州市文化广电和旅游局负责解释。</w:t>
      </w:r>
    </w:p>
    <w:p w14:paraId="6FC53303">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黑体" w:hAnsi="黑体" w:eastAsia="黑体" w:cs="黑体"/>
          <w:b w:val="0"/>
          <w:bCs w:val="0"/>
          <w:sz w:val="32"/>
          <w:szCs w:val="32"/>
        </w:rPr>
        <w:t>第十</w:t>
      </w:r>
      <w:r>
        <w:rPr>
          <w:rFonts w:hint="eastAsia" w:ascii="黑体" w:hAnsi="黑体" w:eastAsia="黑体" w:cs="黑体"/>
          <w:b w:val="0"/>
          <w:bCs w:val="0"/>
          <w:sz w:val="32"/>
          <w:szCs w:val="32"/>
          <w:lang w:eastAsia="zh-CN"/>
        </w:rPr>
        <w:t>七</w:t>
      </w:r>
      <w:r>
        <w:rPr>
          <w:rFonts w:ascii="黑体" w:hAnsi="黑体" w:eastAsia="黑体" w:cs="黑体"/>
          <w:b w:val="0"/>
          <w:bCs w:val="0"/>
          <w:sz w:val="32"/>
          <w:szCs w:val="32"/>
        </w:rPr>
        <w:t xml:space="preserve">条  </w:t>
      </w:r>
      <w:r>
        <w:rPr>
          <w:rFonts w:ascii="仿宋_GB2312" w:hAnsi="仿宋_GB2312" w:eastAsia="仿宋_GB2312" w:cs="仿宋_GB2312"/>
          <w:b w:val="0"/>
          <w:bCs w:val="0"/>
          <w:sz w:val="32"/>
          <w:szCs w:val="32"/>
        </w:rPr>
        <w:t>本工作指引自</w:t>
      </w:r>
      <w:r>
        <w:rPr>
          <w:rFonts w:hint="default" w:ascii="Times New Roman" w:hAnsi="Times New Roman" w:eastAsia="仿宋_GB2312" w:cs="Times New Roman"/>
          <w:b w:val="0"/>
          <w:bCs w:val="0"/>
          <w:sz w:val="32"/>
          <w:szCs w:val="32"/>
        </w:rPr>
        <w:t>2026</w:t>
      </w:r>
      <w:r>
        <w:rPr>
          <w:rFonts w:ascii="仿宋_GB2312" w:hAnsi="仿宋_GB2312" w:eastAsia="仿宋_GB2312" w:cs="仿宋_GB2312"/>
          <w:b w:val="0"/>
          <w:bCs w:val="0"/>
          <w:sz w:val="32"/>
          <w:szCs w:val="32"/>
        </w:rPr>
        <w:t>年 月 日起实施。</w:t>
      </w:r>
    </w:p>
    <w:p w14:paraId="1EE25593">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p>
    <w:p w14:paraId="0D5EC72B">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p>
    <w:p w14:paraId="1B97A497">
      <w:pPr>
        <w:keepNext w:val="0"/>
        <w:keepLines w:val="0"/>
        <w:pageBreakBefore w:val="0"/>
        <w:kinsoku/>
        <w:wordWrap/>
        <w:overflowPunct/>
        <w:topLinePunct w:val="0"/>
        <w:autoSpaceDE/>
        <w:autoSpaceDN/>
        <w:bidi w:val="0"/>
        <w:adjustRightInd/>
        <w:spacing w:before="0" w:after="0" w:line="580" w:lineRule="exact"/>
        <w:ind w:firstLine="640"/>
        <w:textAlignment w:val="auto"/>
        <w:rPr>
          <w:rFonts w:ascii="仿宋_GB2312" w:hAnsi="仿宋_GB2312" w:eastAsia="仿宋_GB2312" w:cs="仿宋_GB2312"/>
          <w:b w:val="0"/>
          <w:bCs w:val="0"/>
          <w:sz w:val="32"/>
          <w:szCs w:val="32"/>
        </w:rPr>
      </w:pPr>
    </w:p>
    <w:p w14:paraId="482F6188">
      <w:pPr>
        <w:keepNext w:val="0"/>
        <w:keepLines w:val="0"/>
        <w:pageBreakBefore w:val="0"/>
        <w:kinsoku/>
        <w:wordWrap/>
        <w:overflowPunct/>
        <w:topLinePunct w:val="0"/>
        <w:autoSpaceDE/>
        <w:autoSpaceDN/>
        <w:bidi w:val="0"/>
        <w:adjustRightInd/>
        <w:spacing w:before="0" w:after="0" w:line="580" w:lineRule="exact"/>
        <w:ind w:firstLine="640"/>
        <w:textAlignment w:val="auto"/>
        <w:rPr>
          <w:sz w:val="32"/>
          <w:szCs w:val="32"/>
        </w:rPr>
      </w:pPr>
      <w:r>
        <w:rPr>
          <w:rFonts w:ascii="仿宋_GB2312" w:hAnsi="仿宋_GB2312" w:eastAsia="仿宋_GB2312" w:cs="仿宋_GB2312"/>
          <w:b w:val="0"/>
          <w:bCs w:val="0"/>
          <w:sz w:val="32"/>
          <w:szCs w:val="32"/>
        </w:rPr>
        <w:t>附件：苏州市新型文化空间焕新培育申报表</w:t>
      </w:r>
    </w:p>
    <w:p w14:paraId="6EA63916">
      <w:pPr>
        <w:keepNext w:val="0"/>
        <w:keepLines w:val="0"/>
        <w:pageBreakBefore w:val="0"/>
        <w:kinsoku/>
        <w:wordWrap/>
        <w:overflowPunct/>
        <w:topLinePunct w:val="0"/>
        <w:autoSpaceDE/>
        <w:autoSpaceDN/>
        <w:bidi w:val="0"/>
        <w:adjustRightInd/>
        <w:spacing w:before="0" w:after="0" w:line="580" w:lineRule="exact"/>
        <w:textAlignment w:val="auto"/>
        <w:rPr>
          <w:sz w:val="32"/>
          <w:szCs w:val="32"/>
        </w:rPr>
      </w:pPr>
    </w:p>
    <w:p w14:paraId="076EF42A">
      <w:pPr>
        <w:keepNext w:val="0"/>
        <w:keepLines w:val="0"/>
        <w:pageBreakBefore w:val="0"/>
        <w:kinsoku/>
        <w:wordWrap/>
        <w:overflowPunct/>
        <w:topLinePunct w:val="0"/>
        <w:autoSpaceDE/>
        <w:autoSpaceDN/>
        <w:bidi w:val="0"/>
        <w:adjustRightInd/>
        <w:spacing w:before="0" w:after="0" w:line="580" w:lineRule="exact"/>
        <w:textAlignment w:val="auto"/>
        <w:rPr>
          <w:sz w:val="32"/>
          <w:szCs w:val="32"/>
        </w:rPr>
      </w:pPr>
    </w:p>
    <w:p w14:paraId="3FB96383">
      <w:pPr>
        <w:keepNext w:val="0"/>
        <w:keepLines w:val="0"/>
        <w:pageBreakBefore w:val="0"/>
        <w:kinsoku/>
        <w:wordWrap/>
        <w:overflowPunct/>
        <w:topLinePunct w:val="0"/>
        <w:autoSpaceDE/>
        <w:autoSpaceDN/>
        <w:bidi w:val="0"/>
        <w:adjustRightInd/>
        <w:spacing w:before="0" w:after="0" w:line="580" w:lineRule="exact"/>
        <w:textAlignment w:val="auto"/>
        <w:rPr>
          <w:sz w:val="32"/>
          <w:szCs w:val="32"/>
        </w:rPr>
      </w:pPr>
    </w:p>
    <w:p w14:paraId="446366A5">
      <w:pPr>
        <w:keepNext w:val="0"/>
        <w:keepLines w:val="0"/>
        <w:pageBreakBefore w:val="0"/>
        <w:kinsoku/>
        <w:wordWrap/>
        <w:overflowPunct/>
        <w:topLinePunct w:val="0"/>
        <w:autoSpaceDE/>
        <w:autoSpaceDN/>
        <w:bidi w:val="0"/>
        <w:adjustRightInd/>
        <w:spacing w:before="0" w:after="0" w:line="580" w:lineRule="exact"/>
        <w:textAlignment w:val="auto"/>
        <w:rPr>
          <w:sz w:val="32"/>
          <w:szCs w:val="32"/>
        </w:rPr>
      </w:pPr>
    </w:p>
    <w:p w14:paraId="53DD7EDA">
      <w:pPr>
        <w:keepNext w:val="0"/>
        <w:keepLines w:val="0"/>
        <w:pageBreakBefore w:val="0"/>
        <w:kinsoku/>
        <w:wordWrap/>
        <w:overflowPunct/>
        <w:topLinePunct w:val="0"/>
        <w:autoSpaceDE/>
        <w:autoSpaceDN/>
        <w:bidi w:val="0"/>
        <w:adjustRightInd/>
        <w:spacing w:before="0" w:after="0" w:line="580" w:lineRule="exact"/>
        <w:textAlignment w:val="auto"/>
        <w:rPr>
          <w:sz w:val="32"/>
          <w:szCs w:val="32"/>
        </w:rPr>
      </w:pPr>
    </w:p>
    <w:p w14:paraId="3D423222">
      <w:pPr>
        <w:keepNext w:val="0"/>
        <w:keepLines w:val="0"/>
        <w:pageBreakBefore w:val="0"/>
        <w:kinsoku/>
        <w:wordWrap/>
        <w:overflowPunct/>
        <w:topLinePunct w:val="0"/>
        <w:autoSpaceDE/>
        <w:autoSpaceDN/>
        <w:bidi w:val="0"/>
        <w:adjustRightInd/>
        <w:spacing w:before="0" w:after="0" w:line="580" w:lineRule="exact"/>
        <w:textAlignment w:val="auto"/>
        <w:rPr>
          <w:sz w:val="32"/>
          <w:szCs w:val="32"/>
        </w:rPr>
      </w:pPr>
    </w:p>
    <w:p w14:paraId="5B01F211">
      <w:pPr>
        <w:keepNext w:val="0"/>
        <w:keepLines w:val="0"/>
        <w:pageBreakBefore w:val="0"/>
        <w:kinsoku/>
        <w:wordWrap/>
        <w:overflowPunct/>
        <w:topLinePunct w:val="0"/>
        <w:autoSpaceDE/>
        <w:autoSpaceDN/>
        <w:bidi w:val="0"/>
        <w:adjustRightInd/>
        <w:spacing w:before="0" w:after="0" w:line="580" w:lineRule="exact"/>
        <w:ind w:right="400"/>
        <w:jc w:val="right"/>
        <w:textAlignment w:val="auto"/>
        <w:rPr>
          <w:sz w:val="32"/>
          <w:szCs w:val="32"/>
        </w:rPr>
      </w:pPr>
      <w:r>
        <w:rPr>
          <w:rFonts w:ascii="仿宋_GB2312" w:hAnsi="仿宋_GB2312" w:eastAsia="仿宋_GB2312" w:cs="仿宋_GB2312"/>
          <w:b w:val="0"/>
          <w:bCs w:val="0"/>
          <w:sz w:val="32"/>
          <w:szCs w:val="32"/>
        </w:rPr>
        <w:t>苏州市文化广电和旅游局</w:t>
      </w:r>
    </w:p>
    <w:p w14:paraId="04FEEE7D">
      <w:pPr>
        <w:keepNext w:val="0"/>
        <w:keepLines w:val="0"/>
        <w:pageBreakBefore w:val="0"/>
        <w:kinsoku/>
        <w:wordWrap/>
        <w:overflowPunct/>
        <w:topLinePunct w:val="0"/>
        <w:autoSpaceDE/>
        <w:autoSpaceDN/>
        <w:bidi w:val="0"/>
        <w:adjustRightInd/>
        <w:spacing w:before="0" w:after="0" w:line="580" w:lineRule="exact"/>
        <w:ind w:right="400"/>
        <w:jc w:val="right"/>
        <w:textAlignment w:val="auto"/>
        <w:rPr>
          <w:rFonts w:ascii="仿宋_GB2312" w:hAnsi="仿宋_GB2312" w:eastAsia="仿宋_GB2312" w:cs="仿宋_GB2312"/>
          <w:b w:val="0"/>
          <w:bCs w:val="0"/>
          <w:sz w:val="32"/>
          <w:szCs w:val="32"/>
        </w:rPr>
        <w:sectPr>
          <w:footerReference r:id="rId3" w:type="default"/>
          <w:pgSz w:w="11906" w:h="16838"/>
          <w:pgMar w:top="2041" w:right="1531" w:bottom="1928" w:left="1531" w:header="708" w:footer="708" w:gutter="0"/>
          <w:cols w:space="720" w:num="1"/>
          <w:docGrid w:linePitch="360" w:charSpace="0"/>
        </w:sectPr>
      </w:pPr>
      <w:r>
        <w:rPr>
          <w:rFonts w:hint="default" w:ascii="Times New Roman" w:hAnsi="Times New Roman" w:eastAsia="仿宋_GB2312" w:cs="Times New Roman"/>
          <w:b w:val="0"/>
          <w:bCs w:val="0"/>
          <w:sz w:val="32"/>
          <w:szCs w:val="32"/>
        </w:rPr>
        <w:t>2026</w:t>
      </w:r>
      <w:r>
        <w:rPr>
          <w:rFonts w:ascii="仿宋_GB2312" w:hAnsi="仿宋_GB2312" w:eastAsia="仿宋_GB2312" w:cs="仿宋_GB2312"/>
          <w:b w:val="0"/>
          <w:bCs w:val="0"/>
          <w:sz w:val="32"/>
          <w:szCs w:val="32"/>
        </w:rPr>
        <w:t>年</w:t>
      </w:r>
      <w:r>
        <w:rPr>
          <w:rFonts w:hint="default" w:ascii="Times New Roman" w:hAnsi="Times New Roman" w:cs="Times New Roman"/>
          <w:b w:val="0"/>
          <w:bCs w:val="0"/>
          <w:sz w:val="32"/>
          <w:szCs w:val="32"/>
          <w:lang w:val="en-US" w:eastAsia="zh-CN"/>
        </w:rPr>
        <w:t>9</w:t>
      </w:r>
      <w:r>
        <w:rPr>
          <w:rFonts w:ascii="仿宋_GB2312" w:hAnsi="仿宋_GB2312" w:eastAsia="仿宋_GB2312" w:cs="仿宋_GB2312"/>
          <w:b w:val="0"/>
          <w:bCs w:val="0"/>
          <w:sz w:val="32"/>
          <w:szCs w:val="32"/>
        </w:rPr>
        <w:t>月</w:t>
      </w:r>
    </w:p>
    <w:p w14:paraId="3E4471C1">
      <w:pPr>
        <w:keepNext w:val="0"/>
        <w:keepLines w:val="0"/>
        <w:pageBreakBefore w:val="0"/>
        <w:widowControl w:val="0"/>
        <w:kinsoku/>
        <w:wordWrap/>
        <w:overflowPunct/>
        <w:topLinePunct w:val="0"/>
        <w:autoSpaceDE/>
        <w:autoSpaceDN/>
        <w:bidi w:val="0"/>
        <w:adjustRightInd/>
        <w:spacing w:before="0" w:line="540" w:lineRule="exact"/>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附件</w:t>
      </w:r>
      <w:r>
        <w:rPr>
          <w:rFonts w:hint="eastAsia" w:cs="仿宋_GB2312"/>
          <w:b w:val="0"/>
          <w:bCs w:val="0"/>
          <w:sz w:val="32"/>
          <w:szCs w:val="32"/>
          <w:lang w:val="en-US" w:eastAsia="zh-CN"/>
        </w:rPr>
        <w:t>1</w:t>
      </w:r>
    </w:p>
    <w:p w14:paraId="69A6BA9C">
      <w:pPr>
        <w:keepNext w:val="0"/>
        <w:keepLines w:val="0"/>
        <w:pageBreakBefore w:val="0"/>
        <w:widowControl w:val="0"/>
        <w:kinsoku/>
        <w:wordWrap/>
        <w:overflowPunct/>
        <w:topLinePunct w:val="0"/>
        <w:autoSpaceDE/>
        <w:autoSpaceDN/>
        <w:bidi w:val="0"/>
        <w:adjustRightInd/>
        <w:spacing w:before="0" w:line="540" w:lineRule="exact"/>
        <w:jc w:val="both"/>
        <w:textAlignment w:val="auto"/>
        <w:rPr>
          <w:rFonts w:ascii="黑体" w:hAnsi="黑体" w:eastAsia="黑体" w:cs="黑体"/>
          <w:b w:val="0"/>
          <w:bCs w:val="0"/>
          <w:sz w:val="32"/>
          <w:szCs w:val="32"/>
        </w:rPr>
      </w:pPr>
    </w:p>
    <w:p w14:paraId="0E270A8E">
      <w:pPr>
        <w:keepNext w:val="0"/>
        <w:keepLines w:val="0"/>
        <w:pageBreakBefore w:val="0"/>
        <w:widowControl w:val="0"/>
        <w:kinsoku/>
        <w:wordWrap/>
        <w:overflowPunct/>
        <w:topLinePunct w:val="0"/>
        <w:autoSpaceDE/>
        <w:autoSpaceDN/>
        <w:bidi w:val="0"/>
        <w:adjustRightInd/>
        <w:snapToGrid w:val="0"/>
        <w:spacing w:before="0" w:line="540" w:lineRule="exact"/>
        <w:jc w:val="center"/>
        <w:textAlignment w:val="auto"/>
        <w:rPr>
          <w:rFonts w:ascii="Times New Roman" w:hAnsi="Times New Roman" w:eastAsia="方正小标宋_GBK" w:cs="Times New Roman"/>
          <w:color w:val="262626" w:themeColor="text1" w:themeTint="D9"/>
          <w:sz w:val="36"/>
          <w:szCs w:val="36"/>
          <w14:textFill>
            <w14:solidFill>
              <w14:schemeClr w14:val="tx1">
                <w14:lumMod w14:val="85000"/>
                <w14:lumOff w14:val="15000"/>
              </w14:schemeClr>
            </w14:solidFill>
          </w14:textFill>
        </w:rPr>
      </w:pPr>
      <w:r>
        <w:rPr>
          <w:rFonts w:ascii="Times New Roman" w:hAnsi="Times New Roman" w:eastAsia="方正小标宋_GBK" w:cs="Times New Roman"/>
          <w:color w:val="262626" w:themeColor="text1" w:themeTint="D9"/>
          <w:sz w:val="36"/>
          <w:szCs w:val="36"/>
          <w14:textFill>
            <w14:solidFill>
              <w14:schemeClr w14:val="tx1">
                <w14:lumMod w14:val="85000"/>
                <w14:lumOff w14:val="15000"/>
              </w14:schemeClr>
            </w14:solidFill>
          </w14:textFill>
        </w:rPr>
        <w:t>苏州市</w:t>
      </w:r>
      <w:r>
        <w:rPr>
          <w:rFonts w:hint="eastAsia" w:ascii="Times New Roman" w:hAnsi="Times New Roman" w:eastAsia="方正小标宋_GBK" w:cs="Times New Roman"/>
          <w:color w:val="262626" w:themeColor="text1" w:themeTint="D9"/>
          <w:sz w:val="36"/>
          <w:szCs w:val="36"/>
          <w:lang w:eastAsia="zh-CN"/>
          <w14:textFill>
            <w14:solidFill>
              <w14:schemeClr w14:val="tx1">
                <w14:lumMod w14:val="85000"/>
                <w14:lumOff w14:val="15000"/>
              </w14:schemeClr>
            </w14:solidFill>
          </w14:textFill>
        </w:rPr>
        <w:t>新型文化空间焕新培育</w:t>
      </w:r>
      <w:r>
        <w:rPr>
          <w:rFonts w:ascii="Times New Roman" w:hAnsi="Times New Roman" w:eastAsia="方正小标宋_GBK" w:cs="Times New Roman"/>
          <w:color w:val="262626" w:themeColor="text1" w:themeTint="D9"/>
          <w:sz w:val="36"/>
          <w:szCs w:val="36"/>
          <w14:textFill>
            <w14:solidFill>
              <w14:schemeClr w14:val="tx1">
                <w14:lumMod w14:val="85000"/>
                <w14:lumOff w14:val="15000"/>
              </w14:schemeClr>
            </w14:solidFill>
          </w14:textFill>
        </w:rPr>
        <w:t>申报表</w:t>
      </w:r>
    </w:p>
    <w:p w14:paraId="5E5CC068">
      <w:pPr>
        <w:keepNext w:val="0"/>
        <w:keepLines w:val="0"/>
        <w:pageBreakBefore w:val="0"/>
        <w:widowControl w:val="0"/>
        <w:kinsoku/>
        <w:wordWrap/>
        <w:overflowPunct/>
        <w:topLinePunct w:val="0"/>
        <w:autoSpaceDE/>
        <w:autoSpaceDN/>
        <w:bidi w:val="0"/>
        <w:adjustRightInd/>
        <w:snapToGrid w:val="0"/>
        <w:spacing w:before="0" w:line="540" w:lineRule="exact"/>
        <w:jc w:val="center"/>
        <w:textAlignment w:val="auto"/>
        <w:rPr>
          <w:rFonts w:ascii="Times New Roman" w:hAnsi="Times New Roman" w:eastAsia="方正小标宋_GBK" w:cs="Times New Roman"/>
          <w:color w:val="262626" w:themeColor="text1" w:themeTint="D9"/>
          <w:sz w:val="21"/>
          <w:szCs w:val="21"/>
          <w14:textFill>
            <w14:solidFill>
              <w14:schemeClr w14:val="tx1">
                <w14:lumMod w14:val="85000"/>
                <w14:lumOff w14:val="15000"/>
              </w14:schemeClr>
            </w14:solidFill>
          </w14:textFill>
        </w:rPr>
      </w:pPr>
    </w:p>
    <w:tbl>
      <w:tblPr>
        <w:tblStyle w:val="3"/>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3129"/>
        <w:gridCol w:w="1366"/>
        <w:gridCol w:w="2747"/>
      </w:tblGrid>
      <w:tr w14:paraId="6EFC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717" w:type="dxa"/>
            <w:vAlign w:val="center"/>
          </w:tcPr>
          <w:p w14:paraId="263B96D8">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空间名称</w:t>
            </w:r>
          </w:p>
        </w:tc>
        <w:tc>
          <w:tcPr>
            <w:tcW w:w="7242" w:type="dxa"/>
            <w:gridSpan w:val="3"/>
            <w:vAlign w:val="center"/>
          </w:tcPr>
          <w:p w14:paraId="2BBF516B">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tc>
      </w:tr>
      <w:tr w14:paraId="2EC5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717" w:type="dxa"/>
            <w:vAlign w:val="center"/>
          </w:tcPr>
          <w:p w14:paraId="50FA205B">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具体地址</w:t>
            </w:r>
          </w:p>
        </w:tc>
        <w:tc>
          <w:tcPr>
            <w:tcW w:w="7242" w:type="dxa"/>
            <w:gridSpan w:val="3"/>
            <w:vAlign w:val="center"/>
          </w:tcPr>
          <w:p w14:paraId="05A67946">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p>
        </w:tc>
      </w:tr>
      <w:tr w14:paraId="3CBD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717" w:type="dxa"/>
            <w:shd w:val="clear" w:color="auto" w:fill="auto"/>
            <w:vAlign w:val="center"/>
          </w:tcPr>
          <w:p w14:paraId="5F3932C7">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kern w:val="2"/>
                <w:sz w:val="28"/>
                <w:szCs w:val="28"/>
                <w:lang w:val="en-US" w:eastAsia="zh-CN" w:bidi="ar-SA"/>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服务面积</w:t>
            </w:r>
          </w:p>
        </w:tc>
        <w:tc>
          <w:tcPr>
            <w:tcW w:w="3129" w:type="dxa"/>
            <w:shd w:val="clear" w:color="auto" w:fill="auto"/>
            <w:vAlign w:val="center"/>
          </w:tcPr>
          <w:p w14:paraId="32419357">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kern w:val="2"/>
                <w:sz w:val="28"/>
                <w:szCs w:val="28"/>
                <w:lang w:val="en-US" w:eastAsia="zh-CN" w:bidi="ar-SA"/>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t>（专指用于公共文化服务传播部分）</w:t>
            </w:r>
          </w:p>
        </w:tc>
        <w:tc>
          <w:tcPr>
            <w:tcW w:w="1366" w:type="dxa"/>
            <w:vAlign w:val="center"/>
          </w:tcPr>
          <w:p w14:paraId="60F04B8D">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投用</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时间</w:t>
            </w:r>
          </w:p>
        </w:tc>
        <w:tc>
          <w:tcPr>
            <w:tcW w:w="2747" w:type="dxa"/>
            <w:vAlign w:val="center"/>
          </w:tcPr>
          <w:p w14:paraId="3E45A376">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 xml:space="preserve">年  </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月</w:t>
            </w:r>
          </w:p>
        </w:tc>
      </w:tr>
      <w:tr w14:paraId="056B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717" w:type="dxa"/>
            <w:shd w:val="clear" w:color="auto" w:fill="auto"/>
            <w:vAlign w:val="center"/>
          </w:tcPr>
          <w:p w14:paraId="6250B224">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kern w:val="2"/>
                <w:sz w:val="28"/>
                <w:szCs w:val="28"/>
                <w:lang w:val="en-US" w:eastAsia="zh-CN" w:bidi="ar-SA"/>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kern w:val="2"/>
                <w:sz w:val="28"/>
                <w:szCs w:val="28"/>
                <w:lang w:val="en-US" w:eastAsia="zh-CN" w:bidi="ar-SA"/>
                <w14:textFill>
                  <w14:solidFill>
                    <w14:schemeClr w14:val="tx1">
                      <w14:lumMod w14:val="85000"/>
                      <w14:lumOff w14:val="15000"/>
                    </w14:schemeClr>
                  </w14:solidFill>
                </w14:textFill>
              </w:rPr>
              <w:t>申报主体</w:t>
            </w:r>
          </w:p>
        </w:tc>
        <w:tc>
          <w:tcPr>
            <w:tcW w:w="3129" w:type="dxa"/>
            <w:shd w:val="clear" w:color="auto" w:fill="auto"/>
            <w:vAlign w:val="center"/>
          </w:tcPr>
          <w:p w14:paraId="2247D54E">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t>（建设、运营、主理机构均可）</w:t>
            </w:r>
          </w:p>
        </w:tc>
        <w:tc>
          <w:tcPr>
            <w:tcW w:w="1366" w:type="dxa"/>
            <w:vAlign w:val="center"/>
          </w:tcPr>
          <w:p w14:paraId="681332B5">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单位性质</w:t>
            </w:r>
          </w:p>
        </w:tc>
        <w:tc>
          <w:tcPr>
            <w:tcW w:w="2747" w:type="dxa"/>
            <w:vAlign w:val="center"/>
          </w:tcPr>
          <w:p w14:paraId="148E9022">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t>（事业单位、国有企业、</w:t>
            </w:r>
          </w:p>
          <w:p w14:paraId="17034090">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t>民营企业、社会组织等）</w:t>
            </w:r>
          </w:p>
        </w:tc>
      </w:tr>
      <w:tr w14:paraId="146E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717" w:type="dxa"/>
            <w:vAlign w:val="center"/>
          </w:tcPr>
          <w:p w14:paraId="0633F193">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联</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系</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人</w:t>
            </w:r>
          </w:p>
        </w:tc>
        <w:tc>
          <w:tcPr>
            <w:tcW w:w="3129" w:type="dxa"/>
            <w:vAlign w:val="center"/>
          </w:tcPr>
          <w:p w14:paraId="24B44BDD">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tc>
        <w:tc>
          <w:tcPr>
            <w:tcW w:w="1366" w:type="dxa"/>
            <w:vAlign w:val="center"/>
          </w:tcPr>
          <w:p w14:paraId="3944680D">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联系方式</w:t>
            </w:r>
          </w:p>
        </w:tc>
        <w:tc>
          <w:tcPr>
            <w:tcW w:w="2747" w:type="dxa"/>
            <w:vAlign w:val="center"/>
          </w:tcPr>
          <w:p w14:paraId="7C5C330A">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tc>
      </w:tr>
      <w:tr w14:paraId="182C2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717" w:type="dxa"/>
            <w:vAlign w:val="center"/>
          </w:tcPr>
          <w:p w14:paraId="6899A6B8">
            <w:pPr>
              <w:spacing w:line="580" w:lineRule="exact"/>
              <w:jc w:val="cente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空间类型</w:t>
            </w:r>
          </w:p>
        </w:tc>
        <w:tc>
          <w:tcPr>
            <w:tcW w:w="7242" w:type="dxa"/>
            <w:gridSpan w:val="3"/>
            <w:vAlign w:val="center"/>
          </w:tcPr>
          <w:p w14:paraId="1D1838A1">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全民</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艺术普及新空间</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□全民</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阅读</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新</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空间</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 xml:space="preserve"> </w:t>
            </w:r>
          </w:p>
          <w:p w14:paraId="3F09D202">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□一站式服务新空间</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 xml:space="preserve">文旅融合新空间 </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p>
          <w:p w14:paraId="0A08AE9B">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 xml:space="preserve">□社区文化“嵌入式”新空间 </w:t>
            </w:r>
          </w:p>
          <w:p w14:paraId="4EAFE6C1">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□工业遗址/历史建筑活化新空间</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p>
          <w:p w14:paraId="6BFA81D3">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传统文化体验新空间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时尚潮流新空间 </w:t>
            </w:r>
          </w:p>
          <w:p w14:paraId="18B4B15D">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□文化长廊新空间</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其他：</w:t>
            </w:r>
            <w:r>
              <w:rPr>
                <w:rFonts w:hint="eastAsia" w:asciiTheme="majorEastAsia" w:hAnsiTheme="majorEastAsia" w:eastAsiaTheme="majorEastAsia" w:cstheme="majorEastAsia"/>
                <w:color w:val="262626" w:themeColor="text1" w:themeTint="D9"/>
                <w:sz w:val="28"/>
                <w:szCs w:val="28"/>
                <w:u w:val="single"/>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u w:val="single"/>
                <w:lang w:val="en-US" w:eastAsia="zh-CN"/>
                <w14:textFill>
                  <w14:solidFill>
                    <w14:schemeClr w14:val="tx1">
                      <w14:lumMod w14:val="85000"/>
                      <w14:lumOff w14:val="15000"/>
                    </w14:schemeClr>
                  </w14:solidFill>
                </w14:textFill>
              </w:rPr>
              <w:t xml:space="preserve">      </w:t>
            </w:r>
          </w:p>
        </w:tc>
      </w:tr>
      <w:tr w14:paraId="6107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7" w:type="dxa"/>
            <w:vAlign w:val="center"/>
          </w:tcPr>
          <w:p w14:paraId="66CB758B">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社会力量</w:t>
            </w:r>
          </w:p>
          <w:p w14:paraId="19600EA2">
            <w:pPr>
              <w:keepNext w:val="0"/>
              <w:keepLines w:val="0"/>
              <w:pageBreakBefore w:val="0"/>
              <w:widowControl w:val="0"/>
              <w:kinsoku/>
              <w:wordWrap/>
              <w:overflowPunct/>
              <w:topLinePunct w:val="0"/>
              <w:autoSpaceDE/>
              <w:autoSpaceDN/>
              <w:bidi w:val="0"/>
              <w:adjustRightInd/>
              <w:snapToGrid w:val="0"/>
              <w:spacing w:before="0"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参与情况</w:t>
            </w:r>
          </w:p>
        </w:tc>
        <w:tc>
          <w:tcPr>
            <w:tcW w:w="7242" w:type="dxa"/>
            <w:gridSpan w:val="3"/>
            <w:vAlign w:val="center"/>
          </w:tcPr>
          <w:p w14:paraId="1F40EAEA">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无</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有</w:t>
            </w:r>
          </w:p>
          <w:p w14:paraId="4804221E">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合作</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模式</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（可多选）</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w:t>
            </w:r>
          </w:p>
          <w:p w14:paraId="07A39512">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□参与建设</w:t>
            </w: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□提供场地</w:t>
            </w:r>
          </w:p>
          <w:p w14:paraId="2DAA197B">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参与运营</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□独立承接部分区域运营</w:t>
            </w:r>
          </w:p>
          <w:p w14:paraId="7AC55E23">
            <w:pPr>
              <w:keepNext w:val="0"/>
              <w:keepLines w:val="0"/>
              <w:pageBreakBefore w:val="0"/>
              <w:widowControl w:val="0"/>
              <w:kinsoku/>
              <w:wordWrap/>
              <w:overflowPunct/>
              <w:topLinePunct w:val="0"/>
              <w:autoSpaceDE/>
              <w:autoSpaceDN/>
              <w:bidi w:val="0"/>
              <w:adjustRightInd/>
              <w:snapToGrid w:val="0"/>
              <w:spacing w:before="0" w:beforeLines="0" w:line="360" w:lineRule="exact"/>
              <w:jc w:val="left"/>
              <w:textAlignment w:val="auto"/>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 xml:space="preserve">□购买服务 </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□志愿服务</w:t>
            </w:r>
            <w:r>
              <w:rPr>
                <w:rFonts w:hint="eastAsia" w:asciiTheme="majorEastAsia" w:hAnsiTheme="majorEastAsia" w:eastAsiaTheme="majorEastAsia" w:cstheme="majorEastAsia"/>
                <w:color w:val="262626" w:themeColor="text1" w:themeTint="D9"/>
                <w:sz w:val="28"/>
                <w:szCs w:val="28"/>
                <w:lang w:val="en-US" w:eastAsia="zh-CN"/>
                <w14:textFill>
                  <w14:solidFill>
                    <w14:schemeClr w14:val="tx1">
                      <w14:lumMod w14:val="85000"/>
                      <w14:lumOff w14:val="15000"/>
                    </w14:schemeClr>
                  </w14:solidFill>
                </w14:textFill>
              </w:rPr>
              <w:t xml:space="preserve"> </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 xml:space="preserve"> □公益捐赠</w:t>
            </w:r>
          </w:p>
        </w:tc>
      </w:tr>
      <w:tr w14:paraId="048A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jc w:val="center"/>
        </w:trPr>
        <w:tc>
          <w:tcPr>
            <w:tcW w:w="1717" w:type="dxa"/>
            <w:vAlign w:val="center"/>
          </w:tcPr>
          <w:p w14:paraId="2D6132DE">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服务</w:t>
            </w: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内容与</w:t>
            </w:r>
          </w:p>
          <w:p w14:paraId="384AE207">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活动品牌</w:t>
            </w:r>
          </w:p>
        </w:tc>
        <w:tc>
          <w:tcPr>
            <w:tcW w:w="7242" w:type="dxa"/>
            <w:gridSpan w:val="3"/>
            <w:vAlign w:val="center"/>
          </w:tcPr>
          <w:p w14:paraId="36F26BA9">
            <w:pPr>
              <w:keepNext w:val="0"/>
              <w:keepLines w:val="0"/>
              <w:pageBreakBefore w:val="0"/>
              <w:widowControl w:val="0"/>
              <w:kinsoku/>
              <w:wordWrap/>
              <w:overflowPunct/>
              <w:topLinePunct w:val="0"/>
              <w:autoSpaceDE/>
              <w:autoSpaceDN/>
              <w:bidi w:val="0"/>
              <w:adjustRightInd/>
              <w:snapToGrid w:val="0"/>
              <w:spacing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p w14:paraId="70C7FDFB">
            <w:pPr>
              <w:keepNext w:val="0"/>
              <w:keepLines w:val="0"/>
              <w:pageBreakBefore w:val="0"/>
              <w:widowControl w:val="0"/>
              <w:kinsoku/>
              <w:wordWrap/>
              <w:overflowPunct/>
              <w:topLinePunct w:val="0"/>
              <w:autoSpaceDE/>
              <w:autoSpaceDN/>
              <w:bidi w:val="0"/>
              <w:adjustRightInd/>
              <w:snapToGrid w:val="0"/>
              <w:spacing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p w14:paraId="64101406">
            <w:pPr>
              <w:keepNext w:val="0"/>
              <w:keepLines w:val="0"/>
              <w:pageBreakBefore w:val="0"/>
              <w:widowControl w:val="0"/>
              <w:kinsoku/>
              <w:wordWrap/>
              <w:overflowPunct/>
              <w:topLinePunct w:val="0"/>
              <w:autoSpaceDE/>
              <w:autoSpaceDN/>
              <w:bidi w:val="0"/>
              <w:adjustRightInd/>
              <w:snapToGrid w:val="0"/>
              <w:spacing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p w14:paraId="705D07E6">
            <w:pPr>
              <w:keepNext w:val="0"/>
              <w:keepLines w:val="0"/>
              <w:pageBreakBefore w:val="0"/>
              <w:widowControl w:val="0"/>
              <w:kinsoku/>
              <w:wordWrap/>
              <w:overflowPunct/>
              <w:topLinePunct w:val="0"/>
              <w:autoSpaceDE/>
              <w:autoSpaceDN/>
              <w:bidi w:val="0"/>
              <w:adjustRightInd/>
              <w:snapToGrid w:val="0"/>
              <w:spacing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p w14:paraId="014DE9EC">
            <w:pPr>
              <w:keepNext w:val="0"/>
              <w:keepLines w:val="0"/>
              <w:pageBreakBefore w:val="0"/>
              <w:widowControl w:val="0"/>
              <w:kinsoku/>
              <w:wordWrap/>
              <w:overflowPunct/>
              <w:topLinePunct w:val="0"/>
              <w:autoSpaceDE/>
              <w:autoSpaceDN/>
              <w:bidi w:val="0"/>
              <w:adjustRightInd/>
              <w:snapToGrid w:val="0"/>
              <w:spacing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p w14:paraId="2218708A">
            <w:pPr>
              <w:keepNext w:val="0"/>
              <w:keepLines w:val="0"/>
              <w:pageBreakBefore w:val="0"/>
              <w:widowControl w:val="0"/>
              <w:kinsoku/>
              <w:wordWrap/>
              <w:overflowPunct/>
              <w:topLinePunct w:val="0"/>
              <w:autoSpaceDE/>
              <w:autoSpaceDN/>
              <w:bidi w:val="0"/>
              <w:adjustRightInd/>
              <w:snapToGrid w:val="0"/>
              <w:spacing w:beforeLines="0" w:line="44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p>
        </w:tc>
      </w:tr>
      <w:tr w14:paraId="64EC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717" w:type="dxa"/>
            <w:vAlign w:val="center"/>
          </w:tcPr>
          <w:p w14:paraId="4E5FF158">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多元业态</w:t>
            </w:r>
          </w:p>
          <w:p w14:paraId="590E2117">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引入情况</w:t>
            </w:r>
          </w:p>
        </w:tc>
        <w:tc>
          <w:tcPr>
            <w:tcW w:w="3129" w:type="dxa"/>
            <w:vAlign w:val="center"/>
          </w:tcPr>
          <w:p w14:paraId="5F9D1C1B">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pPr>
          </w:p>
          <w:p w14:paraId="023E9613">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t>（包括但不限于饮品轻食、文创售卖、旅游咨询、市集展销等普惠收费类场景业态）</w:t>
            </w:r>
          </w:p>
          <w:p w14:paraId="2DC62A23">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18"/>
                <w:szCs w:val="18"/>
                <w:lang w:val="en-US" w:eastAsia="zh-CN"/>
                <w14:textFill>
                  <w14:solidFill>
                    <w14:schemeClr w14:val="tx1">
                      <w14:lumMod w14:val="85000"/>
                      <w14:lumOff w14:val="15000"/>
                    </w14:schemeClr>
                  </w14:solidFill>
                </w14:textFill>
              </w:rPr>
            </w:pPr>
          </w:p>
        </w:tc>
        <w:tc>
          <w:tcPr>
            <w:tcW w:w="1366" w:type="dxa"/>
            <w:vAlign w:val="center"/>
          </w:tcPr>
          <w:p w14:paraId="305D2FE8">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t>年均</w:t>
            </w:r>
          </w:p>
          <w:p w14:paraId="6DE5EC1C">
            <w:pPr>
              <w:keepNext w:val="0"/>
              <w:keepLines w:val="0"/>
              <w:pageBreakBefore w:val="0"/>
              <w:widowControl w:val="0"/>
              <w:kinsoku/>
              <w:wordWrap/>
              <w:overflowPunct/>
              <w:topLinePunct w:val="0"/>
              <w:autoSpaceDE/>
              <w:autoSpaceDN/>
              <w:bidi w:val="0"/>
              <w:adjustRightInd/>
              <w:snapToGrid w:val="0"/>
              <w:spacing w:before="0" w:beforeLines="0" w:line="300" w:lineRule="exact"/>
              <w:jc w:val="center"/>
              <w:textAlignment w:val="auto"/>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pPr>
            <w:r>
              <w:rPr>
                <w:rFonts w:hint="eastAsia" w:asciiTheme="majorEastAsia" w:hAnsiTheme="majorEastAsia" w:eastAsiaTheme="majorEastAsia" w:cstheme="majorEastAsia"/>
                <w:color w:val="262626" w:themeColor="text1" w:themeTint="D9"/>
                <w:sz w:val="28"/>
                <w:szCs w:val="28"/>
                <w14:textFill>
                  <w14:solidFill>
                    <w14:schemeClr w14:val="tx1">
                      <w14:lumMod w14:val="85000"/>
                      <w14:lumOff w14:val="15000"/>
                    </w14:schemeClr>
                  </w14:solidFill>
                </w14:textFill>
              </w:rPr>
              <w:t>服务人次</w:t>
            </w:r>
          </w:p>
        </w:tc>
        <w:tc>
          <w:tcPr>
            <w:tcW w:w="2747" w:type="dxa"/>
            <w:vAlign w:val="center"/>
          </w:tcPr>
          <w:p w14:paraId="5FF7F6B4">
            <w:pPr>
              <w:keepNext w:val="0"/>
              <w:keepLines w:val="0"/>
              <w:pageBreakBefore w:val="0"/>
              <w:widowControl w:val="0"/>
              <w:kinsoku/>
              <w:wordWrap/>
              <w:overflowPunct/>
              <w:topLinePunct w:val="0"/>
              <w:autoSpaceDE/>
              <w:autoSpaceDN/>
              <w:bidi w:val="0"/>
              <w:adjustRightInd/>
              <w:snapToGrid w:val="0"/>
              <w:spacing w:beforeLines="0" w:line="440" w:lineRule="exact"/>
              <w:jc w:val="center"/>
              <w:textAlignment w:val="auto"/>
              <w:rPr>
                <w:rFonts w:hint="eastAsia" w:asciiTheme="majorEastAsia" w:hAnsiTheme="majorEastAsia" w:eastAsiaTheme="majorEastAsia" w:cstheme="majorEastAsia"/>
                <w:color w:val="262626" w:themeColor="text1" w:themeTint="D9"/>
                <w:sz w:val="28"/>
                <w:szCs w:val="28"/>
                <w:lang w:eastAsia="zh-CN"/>
                <w14:textFill>
                  <w14:solidFill>
                    <w14:schemeClr w14:val="tx1">
                      <w14:lumMod w14:val="85000"/>
                      <w14:lumOff w14:val="15000"/>
                    </w14:schemeClr>
                  </w14:solidFill>
                </w14:textFill>
              </w:rPr>
            </w:pPr>
          </w:p>
        </w:tc>
      </w:tr>
      <w:tr w14:paraId="5D46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8959" w:type="dxa"/>
            <w:gridSpan w:val="4"/>
            <w:vAlign w:val="center"/>
          </w:tcPr>
          <w:p w14:paraId="2C38D5C0">
            <w:pPr>
              <w:keepNext w:val="0"/>
              <w:keepLines w:val="0"/>
              <w:pageBreakBefore w:val="0"/>
              <w:widowControl w:val="0"/>
              <w:kinsoku/>
              <w:wordWrap/>
              <w:overflowPunct/>
              <w:topLinePunct w:val="0"/>
              <w:autoSpaceDE/>
              <w:autoSpaceDN/>
              <w:bidi w:val="0"/>
              <w:adjustRightInd/>
              <w:snapToGrid w:val="0"/>
              <w:spacing w:before="0" w:beforeLines="0" w:line="400" w:lineRule="exact"/>
              <w:jc w:val="center"/>
              <w:textAlignment w:val="auto"/>
              <w:rPr>
                <w:rFonts w:hint="eastAsia" w:ascii="Calibri" w:hAnsi="Calibri" w:eastAsia="黑体" w:cs="Times New Roman"/>
                <w:color w:val="262626" w:themeColor="text1" w:themeTint="D9"/>
                <w:sz w:val="28"/>
                <w:szCs w:val="28"/>
                <w:lang w:eastAsia="zh-CN"/>
                <w14:textFill>
                  <w14:solidFill>
                    <w14:schemeClr w14:val="tx1">
                      <w14:lumMod w14:val="85000"/>
                      <w14:lumOff w14:val="15000"/>
                    </w14:schemeClr>
                  </w14:solidFill>
                </w14:textFill>
              </w:rPr>
            </w:pPr>
            <w:r>
              <w:rPr>
                <w:rFonts w:ascii="Calibri" w:hAnsi="黑体" w:eastAsia="黑体" w:cs="Times New Roman"/>
                <w:color w:val="262626" w:themeColor="text1" w:themeTint="D9"/>
                <w:sz w:val="28"/>
                <w:szCs w:val="28"/>
                <w14:textFill>
                  <w14:solidFill>
                    <w14:schemeClr w14:val="tx1">
                      <w14:lumMod w14:val="85000"/>
                      <w14:lumOff w14:val="15000"/>
                    </w14:schemeClr>
                  </w14:solidFill>
                </w14:textFill>
              </w:rPr>
              <w:t>基本情况</w:t>
            </w:r>
            <w:r>
              <w:rPr>
                <w:rFonts w:hint="eastAsia" w:ascii="Calibri" w:hAnsi="黑体" w:eastAsia="黑体" w:cs="Times New Roman"/>
                <w:color w:val="262626" w:themeColor="text1" w:themeTint="D9"/>
                <w:sz w:val="28"/>
                <w:szCs w:val="28"/>
                <w:lang w:eastAsia="zh-CN"/>
                <w14:textFill>
                  <w14:solidFill>
                    <w14:schemeClr w14:val="tx1">
                      <w14:lumMod w14:val="85000"/>
                      <w14:lumOff w14:val="15000"/>
                    </w14:schemeClr>
                  </w14:solidFill>
                </w14:textFill>
              </w:rPr>
              <w:t>与成效亮点</w:t>
            </w:r>
          </w:p>
        </w:tc>
      </w:tr>
      <w:tr w14:paraId="667F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5" w:hRule="atLeast"/>
          <w:jc w:val="center"/>
        </w:trPr>
        <w:tc>
          <w:tcPr>
            <w:tcW w:w="8959" w:type="dxa"/>
            <w:gridSpan w:val="4"/>
            <w:vAlign w:val="top"/>
          </w:tcPr>
          <w:p w14:paraId="2FA26BE3">
            <w:pPr>
              <w:spacing w:line="580" w:lineRule="exact"/>
              <w:rPr>
                <w:rFonts w:ascii="Calibri" w:hAnsi="Calibri" w:eastAsia="方正仿宋_GBK" w:cs="Times New Roman"/>
                <w:color w:val="262626" w:themeColor="text1" w:themeTint="D9"/>
                <w:sz w:val="28"/>
                <w:szCs w:val="28"/>
                <w14:textFill>
                  <w14:solidFill>
                    <w14:schemeClr w14:val="tx1">
                      <w14:lumMod w14:val="85000"/>
                      <w14:lumOff w14:val="15000"/>
                    </w14:schemeClr>
                  </w14:solidFill>
                </w14:textFill>
              </w:rPr>
            </w:pPr>
          </w:p>
          <w:p w14:paraId="1D8EFA3A">
            <w:pPr>
              <w:spacing w:line="580" w:lineRule="exact"/>
              <w:rPr>
                <w:rFonts w:ascii="Calibri" w:hAnsi="Calibri" w:eastAsia="方正仿宋_GBK" w:cs="Times New Roman"/>
                <w:color w:val="262626" w:themeColor="text1" w:themeTint="D9"/>
                <w:sz w:val="28"/>
                <w:szCs w:val="28"/>
                <w14:textFill>
                  <w14:solidFill>
                    <w14:schemeClr w14:val="tx1">
                      <w14:lumMod w14:val="85000"/>
                      <w14:lumOff w14:val="15000"/>
                    </w14:schemeClr>
                  </w14:solidFill>
                </w14:textFill>
              </w:rPr>
            </w:pPr>
          </w:p>
          <w:p w14:paraId="4EB72643">
            <w:pPr>
              <w:spacing w:line="580" w:lineRule="exact"/>
              <w:rPr>
                <w:rFonts w:ascii="Calibri" w:hAnsi="Calibri" w:eastAsia="方正仿宋_GBK" w:cs="Times New Roman"/>
                <w:color w:val="262626" w:themeColor="text1" w:themeTint="D9"/>
                <w:sz w:val="28"/>
                <w:szCs w:val="28"/>
                <w14:textFill>
                  <w14:solidFill>
                    <w14:schemeClr w14:val="tx1">
                      <w14:lumMod w14:val="85000"/>
                      <w14:lumOff w14:val="15000"/>
                    </w14:schemeClr>
                  </w14:solidFill>
                </w14:textFill>
              </w:rPr>
            </w:pPr>
          </w:p>
        </w:tc>
      </w:tr>
      <w:tr w14:paraId="060D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jc w:val="center"/>
        </w:trPr>
        <w:tc>
          <w:tcPr>
            <w:tcW w:w="1717" w:type="dxa"/>
            <w:vAlign w:val="center"/>
          </w:tcPr>
          <w:p w14:paraId="24678963">
            <w:pPr>
              <w:keepNext w:val="0"/>
              <w:keepLines w:val="0"/>
              <w:pageBreakBefore w:val="0"/>
              <w:widowControl w:val="0"/>
              <w:kinsoku/>
              <w:wordWrap/>
              <w:overflowPunct/>
              <w:topLinePunct w:val="0"/>
              <w:autoSpaceDE/>
              <w:autoSpaceDN/>
              <w:bidi w:val="0"/>
              <w:adjustRightInd/>
              <w:snapToGrid w:val="0"/>
              <w:spacing w:before="0" w:beforeLines="0" w:line="400" w:lineRule="exact"/>
              <w:jc w:val="center"/>
              <w:textAlignment w:val="auto"/>
              <w:rPr>
                <w:rFonts w:ascii="Calibri" w:hAnsi="Calibri" w:eastAsia="方正仿宋_GBK" w:cs="Times New Roman"/>
                <w:color w:val="262626" w:themeColor="text1" w:themeTint="D9"/>
                <w:sz w:val="28"/>
                <w:szCs w:val="28"/>
                <w14:textFill>
                  <w14:solidFill>
                    <w14:schemeClr w14:val="tx1">
                      <w14:lumMod w14:val="85000"/>
                      <w14:lumOff w14:val="15000"/>
                    </w14:schemeClr>
                  </w14:solidFill>
                </w14:textFill>
              </w:rPr>
            </w:pPr>
            <w:r>
              <w:rPr>
                <w:rFonts w:ascii="Calibri" w:hAnsi="Calibri" w:eastAsia="方正仿宋_GBK" w:cs="Times New Roman"/>
                <w:color w:val="262626" w:themeColor="text1" w:themeTint="D9"/>
                <w:sz w:val="28"/>
                <w:szCs w:val="28"/>
                <w14:textFill>
                  <w14:solidFill>
                    <w14:schemeClr w14:val="tx1">
                      <w14:lumMod w14:val="85000"/>
                      <w14:lumOff w14:val="15000"/>
                    </w14:schemeClr>
                  </w14:solidFill>
                </w14:textFill>
              </w:rPr>
              <w:t>县级文化和旅游行政部门推荐意见</w:t>
            </w:r>
          </w:p>
        </w:tc>
        <w:tc>
          <w:tcPr>
            <w:tcW w:w="7242" w:type="dxa"/>
            <w:gridSpan w:val="3"/>
            <w:vAlign w:val="center"/>
          </w:tcPr>
          <w:p w14:paraId="765F1ABB">
            <w:pPr>
              <w:spacing w:line="580" w:lineRule="exact"/>
              <w:jc w:val="left"/>
              <w:rPr>
                <w:rFonts w:ascii="Calibri" w:hAnsi="Calibri" w:eastAsia="方正仿宋_GBK" w:cs="Times New Roman"/>
                <w:color w:val="262626" w:themeColor="text1" w:themeTint="D9"/>
                <w:sz w:val="28"/>
                <w:szCs w:val="28"/>
                <w14:textFill>
                  <w14:solidFill>
                    <w14:schemeClr w14:val="tx1">
                      <w14:lumMod w14:val="85000"/>
                      <w14:lumOff w14:val="15000"/>
                    </w14:schemeClr>
                  </w14:solidFill>
                </w14:textFill>
              </w:rPr>
            </w:pPr>
          </w:p>
        </w:tc>
      </w:tr>
    </w:tbl>
    <w:p w14:paraId="4EB5D4E3">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line="400" w:lineRule="exact"/>
        <w:ind w:right="0" w:rightChars="0"/>
        <w:jc w:val="left"/>
        <w:textAlignment w:val="auto"/>
        <w:rPr>
          <w:rFonts w:ascii="黑体" w:hAnsi="黑体" w:eastAsia="黑体" w:cs="黑体"/>
          <w:b w:val="0"/>
          <w:bCs w:val="0"/>
          <w:sz w:val="32"/>
          <w:szCs w:val="32"/>
        </w:rPr>
      </w:pPr>
      <w:r>
        <w:rPr>
          <w:rFonts w:hint="eastAsia"/>
          <w:lang w:val="en-US" w:eastAsia="zh-CN"/>
        </w:rPr>
        <w:t xml:space="preserve">   </w:t>
      </w:r>
      <w:r>
        <w:rPr>
          <w:rFonts w:hint="eastAsia" w:ascii="楷体" w:hAnsi="楷体" w:eastAsia="楷体" w:cs="楷体"/>
          <w:sz w:val="24"/>
          <w:szCs w:val="24"/>
          <w:lang w:val="en-US" w:eastAsia="zh-CN"/>
        </w:rPr>
        <w:t>注：申报单位应同时提供组织机构代码证、法人证书复印件，各类获奖、宣传及活动开展情况证明材料。</w:t>
      </w:r>
    </w:p>
    <w:p w14:paraId="118063B3">
      <w:pPr>
        <w:rPr>
          <w:rFonts w:hint="eastAsia"/>
        </w:rPr>
      </w:pPr>
    </w:p>
    <w:sectPr>
      <w:pgSz w:w="11906" w:h="16838"/>
      <w:pgMar w:top="1440" w:right="1474" w:bottom="1440" w:left="1587"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901C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EBE9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AEBE9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C77DF"/>
    <w:rsid w:val="06181877"/>
    <w:rsid w:val="08783867"/>
    <w:rsid w:val="0C345C5D"/>
    <w:rsid w:val="1EEB0481"/>
    <w:rsid w:val="1FC972B5"/>
    <w:rsid w:val="2B9325DC"/>
    <w:rsid w:val="39B72E95"/>
    <w:rsid w:val="4B121D62"/>
    <w:rsid w:val="4B751BE4"/>
    <w:rsid w:val="64AB3C0D"/>
    <w:rsid w:val="6F252383"/>
    <w:rsid w:val="728379E7"/>
    <w:rsid w:val="7C8F06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heme="minorBidi"/>
      <w:sz w:val="32"/>
      <w:szCs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p0"/>
    <w:basedOn w:val="1"/>
    <w:qFormat/>
    <w:uiPriority w:val="0"/>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daaee30d-9410-4c18-8d1a-368679fb652c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17BBCF4A</paraID>
      <start>113</start>
      <end>115</end>
      <status>modified</status>
      <modifiedWord>”“</modifiedWord>
      <trackRevisions>false</trackRevisions>
    </reviewItem>
    <reviewItem>
      <errorID>d8b97406-16ba-4a8d-be8a-eef7d3556130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17BBCF4A</paraID>
      <start>130</start>
      <end>132</end>
      <status>modified</status>
      <modifiedWord>”“</modifiedWord>
      <trackRevisions>false</trackRevisions>
    </reviewItem>
    <reviewItem>
      <errorID>b5e6baef-a848-4fd6-9ac9-316407bcc477</errorID>
      <errorWord>、尤其</errorWord>
      <group>L1_Punc</group>
      <groupName>标点问题</groupName>
      <ability>L2_Punc_CN</ability>
      <abilityName>标点符号问题</abilityName>
      <candidateList>
        <item>，尤其</item>
      </candidateList>
      <explain>连接词前后不宜使用顿号，建议使用逗号。</explain>
      <paraID>4E9D6D2B</paraID>
      <start>80</start>
      <end>83</end>
      <status>modified</status>
      <modifiedWord>，尤其</modifiedWord>
      <trackRevisions>false</trackRevisions>
    </reviewItem>
    <reviewItem>
      <errorID>30bfc2ee-192f-46af-85ca-e5d1b0933ff9</errorID>
      <errorWord>、尤其</errorWord>
      <group>L1_Punc</group>
      <groupName>标点问题</groupName>
      <ability>L2_Punc_CN</ability>
      <abilityName>标点符号问题</abilityName>
      <candidateList>
        <item>，尤其</item>
      </candidateList>
      <explain>连接词前后不宜使用顿号，建议使用逗号。</explain>
      <paraID> 3EBDBE1</paraID>
      <start>62</start>
      <end>65</end>
      <status>modified</status>
      <modifiedWord>，尤其</modifiedWord>
      <trackRevisions>false</trackRevisions>
    </reviewItem>
    <reviewItem>
      <errorID>06e5f26b-2886-4d48-ae0b-ceb5b54d15ac</errorID>
      <errorWord>一刻钟幸福生活圈</errorWord>
      <group>L1_Political</group>
      <groupName>政治性问题</groupName>
      <ability>L2_Keyword</ability>
      <abilityName>固定表述</abilityName>
      <candidateList>
        <item>一刻钟便民生活圈</item>
      </candidateList>
      <explain>词汇“一刻钟便民生活圈”在特定场景下为固定表述形式，请确认此处的“一刻钟幸福生活圈”是否存在不当。</explain>
      <paraID>1A260FF3</paraID>
      <start>26</start>
      <end>34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3a576c-ecbf-48e2-a4de-d471be834770}">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3664</Words>
  <Characters>3673</Characters>
  <Lines>0</Lines>
  <Paragraphs>0</Paragraphs>
  <TotalTime>44</TotalTime>
  <ScaleCrop>false</ScaleCrop>
  <LinksUpToDate>false</LinksUpToDate>
  <CharactersWithSpaces>3721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A&amp;CcaxssliE_LAN</cp:lastModifiedBy>
  <dcterms:modified xsi:type="dcterms:W3CDTF">2026-09-20T06:16:23Z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9FE01F7602C1486188921FEB1DA20A94_13</vt:lpwstr>
  </property>
  <property fmtid="{D5CDD505-2E9C-101B-9397-08002B2CF9AE}" pid="4" name="KSOTemplateDocerSaveRecord">
    <vt:lpwstr>eyJoZGlkIjoiNjk1OWIxMmM4MTVhMmVkYjhkN2NjMDNkOWI1ZjM0MDUiLCJ1c2VySWQiOiI0OTgxOTYxMDcifQ==</vt:lpwstr>
  </property>
</Properties>
</file>