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A433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p>
    <w:p w14:paraId="2B3A5F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bookmarkStart w:id="0" w:name="_GoBack"/>
      <w:r>
        <w:rPr>
          <w:rFonts w:hint="eastAsia" w:ascii="方正小标宋_GBK" w:hAnsi="方正小标宋_GBK" w:eastAsia="方正小标宋_GBK" w:cs="方正小标宋_GBK"/>
          <w:sz w:val="44"/>
          <w:szCs w:val="44"/>
        </w:rPr>
        <w:t>苏州市可能存在地下文物区域</w:t>
      </w:r>
    </w:p>
    <w:p w14:paraId="2A4FA95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划分工作成果说明</w:t>
      </w:r>
    </w:p>
    <w:bookmarkEnd w:id="0"/>
    <w:p w14:paraId="4D615D5D">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 w:hAnsi="楷体" w:eastAsia="楷体" w:cs="楷体"/>
          <w:sz w:val="32"/>
          <w:szCs w:val="32"/>
          <w:lang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征求意见稿</w:t>
      </w:r>
      <w:r>
        <w:rPr>
          <w:rFonts w:hint="eastAsia" w:ascii="楷体" w:hAnsi="楷体" w:eastAsia="楷体" w:cs="楷体"/>
          <w:sz w:val="32"/>
          <w:szCs w:val="32"/>
          <w:lang w:eastAsia="zh-CN"/>
        </w:rPr>
        <w:t>）</w:t>
      </w:r>
    </w:p>
    <w:p w14:paraId="550B28B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楷体" w:hAnsi="楷体" w:eastAsia="楷体" w:cs="楷体"/>
          <w:sz w:val="32"/>
          <w:szCs w:val="32"/>
          <w:lang w:eastAsia="zh-CN"/>
        </w:rPr>
      </w:pPr>
    </w:p>
    <w:p w14:paraId="0240F84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一、项目概况</w:t>
      </w:r>
    </w:p>
    <w:p w14:paraId="5A4739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楷体" w:cs="Times New Roman"/>
          <w:sz w:val="32"/>
          <w:szCs w:val="32"/>
          <w:lang w:eastAsia="zh-CN"/>
        </w:rPr>
      </w:pPr>
      <w:r>
        <w:rPr>
          <w:rFonts w:hint="default" w:ascii="Times New Roman" w:hAnsi="Times New Roman" w:eastAsia="楷体" w:cs="Times New Roman"/>
          <w:sz w:val="32"/>
          <w:szCs w:val="32"/>
        </w:rPr>
        <w:t>（一）工作</w:t>
      </w:r>
      <w:r>
        <w:rPr>
          <w:rFonts w:hint="eastAsia" w:ascii="Times New Roman" w:hAnsi="Times New Roman" w:eastAsia="楷体" w:cs="Times New Roman"/>
          <w:sz w:val="32"/>
          <w:szCs w:val="32"/>
          <w:lang w:val="en-US" w:eastAsia="zh-CN"/>
        </w:rPr>
        <w:t>背景</w:t>
      </w:r>
    </w:p>
    <w:p w14:paraId="14CD91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为落实《中华人民共和国文物保护法》第四十三条</w:t>
      </w:r>
      <w:r>
        <w:rPr>
          <w:rFonts w:hint="eastAsia" w:ascii="Times New Roman" w:hAnsi="Times New Roman" w:eastAsia="仿宋_GB2312" w:cs="Times New Roman"/>
          <w:sz w:val="32"/>
          <w:szCs w:val="32"/>
          <w:lang w:val="en-US" w:eastAsia="zh-CN"/>
        </w:rPr>
        <w:t>关于可能存在地下文物区域考古前置的相关</w:t>
      </w:r>
      <w:r>
        <w:rPr>
          <w:rFonts w:hint="default" w:ascii="Times New Roman" w:hAnsi="Times New Roman" w:eastAsia="仿宋_GB2312" w:cs="Times New Roman"/>
          <w:sz w:val="32"/>
          <w:szCs w:val="32"/>
        </w:rPr>
        <w:t>规定，按照省级文物行政部门统一部署，</w:t>
      </w:r>
      <w:r>
        <w:rPr>
          <w:rFonts w:hint="eastAsia" w:ascii="Times New Roman" w:hAnsi="Times New Roman" w:eastAsia="仿宋_GB2312" w:cs="Times New Roman"/>
          <w:sz w:val="32"/>
          <w:szCs w:val="32"/>
          <w:lang w:val="en-US" w:eastAsia="zh-CN"/>
        </w:rPr>
        <w:t>开展本次划分工作。</w:t>
      </w:r>
    </w:p>
    <w:p w14:paraId="515AAD8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w:t>
      </w:r>
      <w:r>
        <w:rPr>
          <w:rFonts w:hint="eastAsia" w:ascii="Times New Roman" w:hAnsi="Times New Roman" w:eastAsia="楷体" w:cs="Times New Roman"/>
          <w:sz w:val="32"/>
          <w:szCs w:val="32"/>
          <w:lang w:val="en-US" w:eastAsia="zh-CN"/>
        </w:rPr>
        <w:t>工作</w:t>
      </w:r>
      <w:r>
        <w:rPr>
          <w:rFonts w:hint="default" w:ascii="Times New Roman" w:hAnsi="Times New Roman" w:eastAsia="楷体" w:cs="Times New Roman"/>
          <w:sz w:val="32"/>
          <w:szCs w:val="32"/>
        </w:rPr>
        <w:t>目标</w:t>
      </w:r>
    </w:p>
    <w:p w14:paraId="2769D0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1.全面梳理苏州市域范围内已知地下文物分布情况及历史文献记载，系统评估存在地下文物的可能性大小。</w:t>
      </w:r>
    </w:p>
    <w:p w14:paraId="70D1AF7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2.划定一类、二类、三类可能存在地下文物区域，明确各类区域的边界范围</w:t>
      </w:r>
      <w:r>
        <w:rPr>
          <w:rFonts w:hint="eastAsia" w:ascii="Times New Roman" w:hAnsi="Times New Roman" w:eastAsia="仿宋_GB2312" w:cs="Times New Roman"/>
          <w:sz w:val="32"/>
          <w:szCs w:val="32"/>
          <w:lang w:val="en-US" w:eastAsia="zh-CN"/>
        </w:rPr>
        <w:t>与</w:t>
      </w:r>
      <w:r>
        <w:rPr>
          <w:rFonts w:hint="default" w:ascii="Times New Roman" w:hAnsi="Times New Roman" w:eastAsia="仿宋_GB2312" w:cs="Times New Roman"/>
          <w:sz w:val="32"/>
          <w:szCs w:val="32"/>
        </w:rPr>
        <w:t>考古调查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勘探技术要求。</w:t>
      </w:r>
    </w:p>
    <w:p w14:paraId="5EEEAA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.形成分类地图</w:t>
      </w:r>
      <w:r>
        <w:rPr>
          <w:rFonts w:hint="eastAsia" w:ascii="Times New Roman" w:hAnsi="Times New Roman" w:eastAsia="仿宋_GB2312" w:cs="Times New Roman"/>
          <w:sz w:val="32"/>
          <w:szCs w:val="32"/>
          <w:lang w:val="en-US" w:eastAsia="zh-CN"/>
        </w:rPr>
        <w:t>与成果说明文件</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为全市</w:t>
      </w:r>
      <w:r>
        <w:rPr>
          <w:rFonts w:hint="default" w:ascii="Times New Roman" w:hAnsi="Times New Roman" w:eastAsia="仿宋_GB2312" w:cs="Times New Roman"/>
          <w:sz w:val="32"/>
          <w:szCs w:val="32"/>
        </w:rPr>
        <w:t>土地出让、划拨及建设工程前的考古调查、勘探工作提供科学依据，实现地下文物保护与城乡建设协调发展。</w:t>
      </w:r>
    </w:p>
    <w:p w14:paraId="2A4976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（三）工作范围</w:t>
      </w:r>
    </w:p>
    <w:p w14:paraId="589D90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本次划分工作覆盖苏州市全部行政辖区，总面积约8657.32平方公里。</w:t>
      </w:r>
    </w:p>
    <w:p w14:paraId="7DA89FE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二、苏州市情</w:t>
      </w:r>
    </w:p>
    <w:p w14:paraId="2CA126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（一）自然地理</w:t>
      </w:r>
    </w:p>
    <w:p w14:paraId="4C36BC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位于江苏省东南部、长江三角洲腹地，东临上海，南接浙江嘉兴、湖州，西抱太湖，北依长江，总面积约8657.32平方公里。全市地势西高东低，西部山丘区为天目山余脉，包括穹窿山、天平山、灵岩山等，海拔多在100至350米之间，穹窿山主峰笠帽峰海拔341.7米，为全市最高点；东部及北部为广阔平原。</w:t>
      </w:r>
    </w:p>
    <w:p w14:paraId="2B82D2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全市可划分为四个主要地貌单元：西部山丘区，以低山丘陵和山间盆地为主；中部湖荡平原区，海拔多在3至4米，阳澄湖、澄湖、金鸡湖等湖泊星罗棋布，京杭大运河纵贯南北，娄江、胥江、吴淞江等构成骨干水网，湖泊周边与塘浦之间地势稍高的平原土墩广泛分布；</w:t>
      </w:r>
      <w:r>
        <w:rPr>
          <w:rFonts w:hint="eastAsia" w:ascii="Times New Roman" w:hAnsi="Times New Roman" w:eastAsia="仿宋_GB2312" w:cs="Times New Roman"/>
          <w:sz w:val="32"/>
          <w:szCs w:val="32"/>
          <w:lang w:val="en-US" w:eastAsia="zh-CN"/>
        </w:rPr>
        <w:t>北部</w:t>
      </w:r>
      <w:r>
        <w:rPr>
          <w:rFonts w:hint="default" w:ascii="Times New Roman" w:hAnsi="Times New Roman" w:eastAsia="仿宋_GB2312" w:cs="Times New Roman"/>
          <w:sz w:val="32"/>
          <w:szCs w:val="32"/>
        </w:rPr>
        <w:t>沿江冲积平原区，成陆较晚；东南部湖沼洼地区，地势最低，历史上水面率极高。</w:t>
      </w:r>
    </w:p>
    <w:p w14:paraId="2E6939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上述地貌条件共同构成了地下文物埋藏与赋存的客观基础。西部山间盆地地势较高、水源便利，是历史时期聚落选址的适宜区域，因而成为春秋吴国都城等遗存的重要分布区。中部湖荡平原区的平原土墩高出周边水面，既便于耕作又免受水患，是史前人类择高而居的理想场所，因此马家浜文化至良渚文化时期遗址在此高度密集。沿江冲积平原成陆较晚，东南部湖沼洼地历史上水面率极高，均不具备古代人类长期定居与活动的条件，基本不存在地下文物埋藏的可能。</w:t>
      </w:r>
    </w:p>
    <w:p w14:paraId="60AEB67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（二）历史沿革</w:t>
      </w:r>
    </w:p>
    <w:p w14:paraId="0C59E8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距今约一万年前，太湖三山岛已发现旧石器时代晚期人类活动遗迹。距今约7000至4200年间，马家浜文化、崧泽文化、良渚文化先后兴盛，留下了草鞋山、东山村、赵陵山、绰墩、张陵山等重要遗址。</w:t>
      </w:r>
    </w:p>
    <w:p w14:paraId="2717D9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商末，泰伯、仲雍奔荆蛮，自号“勾吴”。据《越绝书》《吴越春秋》记载，春秋吴王阖闾元年（公元前514年），命伍子胥“相土尝水，象天法地”筑阖闾大城，设水陆城门各八座。与此相应的是，现代考古发现的木渎春秋古城遗址，位于苏州西部，规模宏大，经确认系春秋晚期具有都城性质的大型城址。两处城址的关系，学术界尚有不同意见，有待进一步考古证实。</w:t>
      </w:r>
    </w:p>
    <w:p w14:paraId="54DEDE5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秦置会稽郡，治吴县。东汉永建四年（公元129年）析置吴郡，治所均在今苏州古城范围内。隋开皇九年（公元589年）始名苏州，开皇十一年（公元591年）州治曾迁至古城西南新郭，至唐武德七年（公元624年）迁回原址。自唐至今，苏州古城城址稳定未移，历时约1400年。</w:t>
      </w:r>
    </w:p>
    <w:p w14:paraId="2F953F6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唐宋时期，苏州经济文化繁荣，“苏湖熟，天下足”之谚流传甚广。南宋绍定二年（1229年）镌刻的《平江图》碑，清晰展示了“水陆并行、河街相邻”的双棋盘城市格局，至今苏州古城仍基本保持了这一历史形态。明洪武年间改苏州府，手工业与商业鼎盛，阊门一带被誉为“天下四聚”之一。清为江苏巡抚驻地。</w:t>
      </w:r>
    </w:p>
    <w:p w14:paraId="4E1FEE6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1949年4月苏州解放，1983年实行市管县体制。现辖姑苏、虎丘、吴中、相城、吴江五区及苏州工业园区，代管张家港、常熟、太仓、昆山四市，总面积8657.32平方公里。</w:t>
      </w:r>
    </w:p>
    <w:p w14:paraId="05629F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不同历史时期的人类活动，在空间上形成了清晰可辨的</w:t>
      </w:r>
      <w:r>
        <w:rPr>
          <w:rFonts w:hint="eastAsia" w:ascii="Times New Roman" w:hAnsi="Times New Roman" w:eastAsia="仿宋_GB2312" w:cs="Times New Roman"/>
          <w:sz w:val="32"/>
          <w:szCs w:val="32"/>
          <w:lang w:val="en-US" w:eastAsia="zh-CN"/>
        </w:rPr>
        <w:t>地下</w:t>
      </w:r>
      <w:r>
        <w:rPr>
          <w:rFonts w:hint="default" w:ascii="Times New Roman" w:hAnsi="Times New Roman" w:eastAsia="仿宋_GB2312" w:cs="Times New Roman"/>
          <w:sz w:val="32"/>
          <w:szCs w:val="32"/>
        </w:rPr>
        <w:t>文物分布格局，为本次区域划分提供了重要的历史依据。</w:t>
      </w:r>
    </w:p>
    <w:p w14:paraId="5CAD3D1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z w:val="32"/>
          <w:szCs w:val="32"/>
        </w:rPr>
      </w:pPr>
      <w:r>
        <w:rPr>
          <w:rFonts w:hint="eastAsia" w:ascii="楷体" w:hAnsi="楷体" w:eastAsia="楷体" w:cs="楷体"/>
          <w:sz w:val="32"/>
          <w:szCs w:val="32"/>
        </w:rPr>
        <w:t>（三）文物资源</w:t>
      </w:r>
    </w:p>
    <w:p w14:paraId="6A28251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是首批国家历史文化名城，文物遗存极为丰富。据第四次全国不可移动文物普查阶段性成果，全市登记不可移动文物4407处，其中全国重点文物保护单位61处、省级文物保护单位149处、市级文物保护单位776处、未定级不可移动文物3421处。拥有世界文化遗产2项（苏州古典园林、中国大运河苏州段），国家历史文化名城2座（苏州、常熟），中国历史文化名镇15座、名村5个，历史文化街区11处。</w:t>
      </w:r>
      <w:r>
        <w:rPr>
          <w:rFonts w:hint="eastAsia" w:ascii="Times New Roman" w:hAnsi="Times New Roman" w:eastAsia="仿宋_GB2312" w:cs="Times New Roman"/>
          <w:sz w:val="32"/>
          <w:szCs w:val="32"/>
          <w:lang w:val="en-US" w:eastAsia="zh-CN"/>
        </w:rPr>
        <w:t>其中</w:t>
      </w:r>
      <w:r>
        <w:rPr>
          <w:rFonts w:hint="default" w:ascii="Times New Roman" w:hAnsi="Times New Roman" w:eastAsia="仿宋_GB2312" w:cs="Times New Roman"/>
          <w:sz w:val="32"/>
          <w:szCs w:val="32"/>
        </w:rPr>
        <w:t>古遗址、古墓葬和已划定的地下文物埋藏区是本次可能存在地下文物区域划分的核心依据。</w:t>
      </w:r>
    </w:p>
    <w:p w14:paraId="53CC0DD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rPr>
        <w:t>古遗址</w:t>
      </w:r>
      <w:r>
        <w:rPr>
          <w:rFonts w:hint="eastAsia" w:ascii="Times New Roman" w:hAnsi="Times New Roman" w:eastAsia="仿宋_GB2312" w:cs="Times New Roman"/>
          <w:b w:val="0"/>
          <w:bCs w:val="0"/>
          <w:sz w:val="32"/>
          <w:szCs w:val="32"/>
          <w:lang w:val="en-US" w:eastAsia="zh-CN"/>
        </w:rPr>
        <w:t>方面，</w:t>
      </w:r>
      <w:r>
        <w:rPr>
          <w:rFonts w:hint="default" w:ascii="Times New Roman" w:hAnsi="Times New Roman" w:eastAsia="仿宋_GB2312" w:cs="Times New Roman"/>
          <w:sz w:val="32"/>
          <w:szCs w:val="32"/>
        </w:rPr>
        <w:t>全市登记古遗址类不可移动文物155处，时代从旧石器时代延续至明清。史前遗址集中分布于东部平原的土墩与台地之上，其中，草鞋山遗址以马家浜至良渚文化的连续地层堆积被誉为“江南史前文化标尺”；东山村遗址发现的崧泽文化高等级大墓表明距今约5800年前已出现明显阶级分化，入选“2009年度全国十大考古新发现”；赵陵山遗址是良渚文化时期的重要区域聚落中心；绰墩遗址、张陵山遗址等也均为环太湖地区文明化进程的重要实证。历史时期城址以木渎春秋古城遗址最具代表性，该遗址位于苏州西部，面积逾20平方公里，系春秋晚期具有都城性质的大型城址，入选“2010年度全国十大考古新发现”。苏州古城核心区（子城遗址及其周边）自秦汉以来城址连续叠压，参照地下文物埋藏区管理。黄泗浦遗址作为唐宋时期港口遗址和鉴真东渡启航地，是江南地区古代港口与对外交流的重要见证，入选“2018年度全国十大考古新发现”。</w:t>
      </w:r>
    </w:p>
    <w:p w14:paraId="3A0CC58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rPr>
        <w:t>古墓葬</w:t>
      </w:r>
      <w:r>
        <w:rPr>
          <w:rFonts w:hint="eastAsia" w:ascii="Times New Roman" w:hAnsi="Times New Roman" w:eastAsia="仿宋_GB2312" w:cs="Times New Roman"/>
          <w:b w:val="0"/>
          <w:bCs w:val="0"/>
          <w:sz w:val="32"/>
          <w:szCs w:val="32"/>
          <w:lang w:val="en-US" w:eastAsia="zh-CN"/>
        </w:rPr>
        <w:t>方面，</w:t>
      </w:r>
      <w:r>
        <w:rPr>
          <w:rFonts w:hint="default" w:ascii="Times New Roman" w:hAnsi="Times New Roman" w:eastAsia="仿宋_GB2312" w:cs="Times New Roman"/>
          <w:sz w:val="32"/>
          <w:szCs w:val="32"/>
        </w:rPr>
        <w:t>全市登记古墓葬类不可移动文物104处，集中分布于苏州西部山区和常熟虞山两大片区。苏州西部山区墓葬群时代集中于春秋至六朝，主要包括真山吴楚贵族墓葬群、五峰山墓葬群等，部分墓葬等级较高，是吴越地区贵族墓葬考古的核心区域。常熟虞山墓葬群时代序列完整，自商周之际延续至明清，分布有仲雍墓、言子墓、黄公望墓、瞿式耜墓、翁同龢墓等历代名人墓葬。</w:t>
      </w:r>
    </w:p>
    <w:p w14:paraId="6E21F6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val="0"/>
          <w:bCs w:val="0"/>
          <w:sz w:val="32"/>
          <w:szCs w:val="32"/>
        </w:rPr>
        <w:t>地下文物埋藏区</w:t>
      </w:r>
      <w:r>
        <w:rPr>
          <w:rFonts w:hint="eastAsia" w:ascii="Times New Roman" w:hAnsi="Times New Roman" w:eastAsia="仿宋_GB2312" w:cs="Times New Roman"/>
          <w:b w:val="0"/>
          <w:bCs w:val="0"/>
          <w:sz w:val="32"/>
          <w:szCs w:val="32"/>
          <w:lang w:val="en-US" w:eastAsia="zh-CN"/>
        </w:rPr>
        <w:t>方面，</w:t>
      </w:r>
      <w:r>
        <w:rPr>
          <w:rFonts w:hint="default" w:ascii="Times New Roman" w:hAnsi="Times New Roman" w:eastAsia="仿宋_GB2312" w:cs="Times New Roman"/>
          <w:sz w:val="32"/>
          <w:szCs w:val="32"/>
        </w:rPr>
        <w:t>全市已划定或参照管理的</w:t>
      </w:r>
      <w:r>
        <w:rPr>
          <w:rFonts w:hint="eastAsia" w:ascii="Times New Roman" w:hAnsi="Times New Roman" w:eastAsia="仿宋_GB2312" w:cs="Times New Roman"/>
          <w:sz w:val="32"/>
          <w:szCs w:val="32"/>
          <w:lang w:val="en-US" w:eastAsia="zh-CN"/>
        </w:rPr>
        <w:t>区域</w:t>
      </w:r>
      <w:r>
        <w:rPr>
          <w:rFonts w:hint="default" w:ascii="Times New Roman" w:hAnsi="Times New Roman" w:eastAsia="仿宋_GB2312" w:cs="Times New Roman"/>
          <w:sz w:val="32"/>
          <w:szCs w:val="32"/>
        </w:rPr>
        <w:t>包括苏州西部山区春秋古城遗址群地下文物集中埋藏区、苏州子城遗址（参照管理），以及常熟市划定的一批地下文物埋藏区（常熟古城、虞山、尚湖等）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是划定一类可能存在地下文物区域的直接依据</w:t>
      </w:r>
      <w:r>
        <w:rPr>
          <w:rFonts w:hint="default" w:ascii="Times New Roman" w:hAnsi="Times New Roman" w:eastAsia="仿宋_GB2312" w:cs="Times New Roman"/>
          <w:sz w:val="32"/>
          <w:szCs w:val="32"/>
        </w:rPr>
        <w:t>。</w:t>
      </w:r>
    </w:p>
    <w:p w14:paraId="5C0CCD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三、工作方针、原则和依据</w:t>
      </w:r>
    </w:p>
    <w:p w14:paraId="71EBAF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（一）工作方针</w:t>
      </w:r>
    </w:p>
    <w:p w14:paraId="75BCD2A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坚持“保护第一、加强管理、挖掘价值、有效利用、让文物活起来”的新时代文物工作方针。</w:t>
      </w:r>
    </w:p>
    <w:p w14:paraId="15EB84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（二）工作原则</w:t>
      </w:r>
    </w:p>
    <w:p w14:paraId="5B44A6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坚持“保护第一、实事求是、科学评估”原则，统筹兼顾</w:t>
      </w:r>
      <w:r>
        <w:rPr>
          <w:rFonts w:hint="eastAsia" w:ascii="Times New Roman" w:hAnsi="Times New Roman" w:eastAsia="仿宋_GB2312" w:cs="Times New Roman"/>
          <w:sz w:val="32"/>
          <w:szCs w:val="32"/>
          <w:lang w:val="en-US" w:eastAsia="zh-CN"/>
        </w:rPr>
        <w:t>地下</w:t>
      </w:r>
      <w:r>
        <w:rPr>
          <w:rFonts w:hint="default" w:ascii="Times New Roman" w:hAnsi="Times New Roman" w:eastAsia="仿宋_GB2312" w:cs="Times New Roman"/>
          <w:sz w:val="32"/>
          <w:szCs w:val="32"/>
        </w:rPr>
        <w:t>文物保护与城乡建设发展。</w:t>
      </w:r>
    </w:p>
    <w:p w14:paraId="30A8B8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（三）法律法规</w:t>
      </w:r>
      <w:r>
        <w:rPr>
          <w:rFonts w:hint="eastAsia" w:ascii="Times New Roman" w:hAnsi="Times New Roman" w:eastAsia="楷体" w:cs="Times New Roman"/>
          <w:sz w:val="32"/>
          <w:szCs w:val="32"/>
          <w:lang w:val="en-US" w:eastAsia="zh-CN"/>
        </w:rPr>
        <w:t>政策</w:t>
      </w:r>
      <w:r>
        <w:rPr>
          <w:rFonts w:hint="default" w:ascii="Times New Roman" w:hAnsi="Times New Roman" w:eastAsia="楷体" w:cs="Times New Roman"/>
          <w:sz w:val="32"/>
          <w:szCs w:val="32"/>
        </w:rPr>
        <w:t>依据</w:t>
      </w:r>
    </w:p>
    <w:p w14:paraId="037E74A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1.《中华人民共和国文物保护法》（2024年修订）</w:t>
      </w:r>
    </w:p>
    <w:p w14:paraId="2DA54E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2.《中华人民共和国文物保护法实施条例》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2017年修订）</w:t>
      </w:r>
    </w:p>
    <w:p w14:paraId="34EE1E4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3.《江苏省文物保护条例》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2025年修正）</w:t>
      </w:r>
    </w:p>
    <w:p w14:paraId="20EEBE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.《江苏省历史文化名城名镇保护条例》</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2010年修正）</w:t>
      </w:r>
    </w:p>
    <w:p w14:paraId="232EB89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.《关于进一步做好可能存在地下文物区域考古前置工作的通知》（苏文旅发〔2025〕66号）</w:t>
      </w:r>
    </w:p>
    <w:p w14:paraId="595730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.《关于印发〈江苏省优化考古前置工作若干措施（试行）〉的通知》（苏文旅发〔2025〕118号）</w:t>
      </w:r>
    </w:p>
    <w:p w14:paraId="238DEF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7.《苏州市地下文物保护办法》（苏州市人民政府令156号）</w:t>
      </w:r>
    </w:p>
    <w:p w14:paraId="4995CA0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.《关于优化苏州市考古前置工作机制的通知》（苏文考〔2025〕12号）</w:t>
      </w:r>
    </w:p>
    <w:p w14:paraId="1A90912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eastAsia="zh-CN"/>
        </w:rPr>
        <w:t>（</w:t>
      </w:r>
      <w:r>
        <w:rPr>
          <w:rFonts w:hint="eastAsia" w:ascii="楷体" w:hAnsi="楷体" w:eastAsia="楷体" w:cs="楷体"/>
          <w:sz w:val="32"/>
          <w:szCs w:val="32"/>
          <w:lang w:val="en-US" w:eastAsia="zh-CN"/>
        </w:rPr>
        <w:t>四）技术规范性文件</w:t>
      </w:r>
    </w:p>
    <w:p w14:paraId="60FDA29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《可能存在地下文物区域划分工作指南》（江苏省文物局2026年）</w:t>
      </w:r>
    </w:p>
    <w:p w14:paraId="312C54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四、划分标准及依据</w:t>
      </w:r>
    </w:p>
    <w:p w14:paraId="378FE2C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（一）概念界定</w:t>
      </w:r>
    </w:p>
    <w:p w14:paraId="6ABBEF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“可能存在地下文物区域”是指依据已知地下文物分布情况、历史文献记载及地形地貌等要素综合判断，存在地下文物遗存可能性的区域。分为三类</w:t>
      </w:r>
      <w:r>
        <w:rPr>
          <w:rFonts w:hint="eastAsia" w:ascii="Times New Roman" w:hAnsi="Times New Roman" w:eastAsia="仿宋_GB2312" w:cs="Times New Roman"/>
          <w:sz w:val="32"/>
          <w:szCs w:val="32"/>
          <w:lang w:val="en-US" w:eastAsia="zh-CN"/>
        </w:rPr>
        <w:t>区域</w:t>
      </w:r>
      <w:r>
        <w:rPr>
          <w:rFonts w:hint="default" w:ascii="Times New Roman" w:hAnsi="Times New Roman" w:eastAsia="仿宋_GB2312" w:cs="Times New Roman"/>
          <w:sz w:val="32"/>
          <w:szCs w:val="32"/>
        </w:rPr>
        <w:t>：一类区域</w:t>
      </w:r>
      <w:r>
        <w:rPr>
          <w:rFonts w:hint="eastAsia" w:ascii="Times New Roman" w:hAnsi="Times New Roman" w:eastAsia="仿宋_GB2312" w:cs="Times New Roman"/>
          <w:sz w:val="32"/>
          <w:szCs w:val="32"/>
          <w:lang w:val="en-US" w:eastAsia="zh-CN"/>
        </w:rPr>
        <w:t>指</w:t>
      </w:r>
      <w:r>
        <w:rPr>
          <w:rFonts w:hint="default" w:ascii="Times New Roman" w:hAnsi="Times New Roman" w:eastAsia="仿宋_GB2312" w:cs="Times New Roman"/>
          <w:sz w:val="32"/>
          <w:szCs w:val="32"/>
        </w:rPr>
        <w:t>地下文物分布密集或存在地下文物可能性大的区域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二类区域</w:t>
      </w:r>
      <w:r>
        <w:rPr>
          <w:rFonts w:hint="eastAsia" w:ascii="Times New Roman" w:hAnsi="Times New Roman" w:eastAsia="仿宋_GB2312" w:cs="Times New Roman"/>
          <w:sz w:val="32"/>
          <w:szCs w:val="32"/>
          <w:lang w:val="en-US" w:eastAsia="zh-CN"/>
        </w:rPr>
        <w:t>指</w:t>
      </w:r>
      <w:r>
        <w:rPr>
          <w:rFonts w:hint="default" w:ascii="Times New Roman" w:hAnsi="Times New Roman" w:eastAsia="仿宋_GB2312" w:cs="Times New Roman"/>
          <w:sz w:val="32"/>
          <w:szCs w:val="32"/>
        </w:rPr>
        <w:t>地下文物分布相对分散或存在地下文物可能性相对较大的区域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三类区域</w:t>
      </w:r>
      <w:r>
        <w:rPr>
          <w:rFonts w:hint="eastAsia" w:ascii="Times New Roman" w:hAnsi="Times New Roman" w:eastAsia="仿宋_GB2312" w:cs="Times New Roman"/>
          <w:sz w:val="32"/>
          <w:szCs w:val="32"/>
          <w:lang w:val="en-US" w:eastAsia="zh-CN"/>
        </w:rPr>
        <w:t>指</w:t>
      </w:r>
      <w:r>
        <w:rPr>
          <w:rFonts w:hint="default" w:ascii="Times New Roman" w:hAnsi="Times New Roman" w:eastAsia="仿宋_GB2312" w:cs="Times New Roman"/>
          <w:sz w:val="32"/>
          <w:szCs w:val="32"/>
        </w:rPr>
        <w:t>存在地下文物可能极小，或者特殊地貌无法具备考古工作条件的区域。</w:t>
      </w:r>
    </w:p>
    <w:p w14:paraId="0D0A9E1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（二）具体划分标准</w:t>
      </w:r>
    </w:p>
    <w:p w14:paraId="6AF5DA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依据省《指南》规定的划分标准，结合苏州实际，确定如下具体划分标准：</w:t>
      </w:r>
    </w:p>
    <w:p w14:paraId="3CA0162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一类区域包括：</w:t>
      </w:r>
    </w:p>
    <w:p w14:paraId="47D1F25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1.世界文化遗产苏州古典园林的核心区、缓冲区；中国大运河苏州段世界文化遗产的核心区、缓冲区。</w:t>
      </w:r>
    </w:p>
    <w:p w14:paraId="46888AD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2.苏州各级文物保护单位的保护范围、建设控制地带，以及古遗址、古墓葬类未定级不可移动文物分布范围。</w:t>
      </w:r>
    </w:p>
    <w:p w14:paraId="4F6720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3.苏州</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常熟</w:t>
      </w:r>
      <w:r>
        <w:rPr>
          <w:rFonts w:hint="default" w:ascii="Times New Roman" w:hAnsi="Times New Roman" w:eastAsia="仿宋_GB2312" w:cs="Times New Roman"/>
          <w:sz w:val="32"/>
          <w:szCs w:val="32"/>
        </w:rPr>
        <w:t>国家历史文化名城的历史城区范围及其周边地下文物分布较为密集的区域。</w:t>
      </w:r>
    </w:p>
    <w:p w14:paraId="0C65F53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4.中国历史文化名镇（周庄、千灯、锦溪、巴城、甪直、木渎、</w:t>
      </w:r>
      <w:r>
        <w:rPr>
          <w:rFonts w:hint="eastAsia" w:ascii="Times New Roman" w:hAnsi="Times New Roman" w:eastAsia="仿宋_GB2312" w:cs="Times New Roman"/>
          <w:sz w:val="32"/>
          <w:szCs w:val="32"/>
          <w:lang w:val="en-US" w:eastAsia="zh-CN"/>
        </w:rPr>
        <w:t>东山、光福、</w:t>
      </w:r>
      <w:r>
        <w:rPr>
          <w:rFonts w:hint="default" w:ascii="Times New Roman" w:hAnsi="Times New Roman" w:eastAsia="仿宋_GB2312" w:cs="Times New Roman"/>
          <w:sz w:val="32"/>
          <w:szCs w:val="32"/>
        </w:rPr>
        <w:t>同里、震泽、黎里、沙溪、古里、凤凰、</w:t>
      </w:r>
      <w:r>
        <w:rPr>
          <w:rFonts w:hint="eastAsia" w:ascii="Times New Roman" w:hAnsi="Times New Roman" w:eastAsia="仿宋_GB2312" w:cs="Times New Roman"/>
          <w:sz w:val="32"/>
          <w:szCs w:val="32"/>
          <w:lang w:val="en-US" w:eastAsia="zh-CN"/>
        </w:rPr>
        <w:t>沙家浜</w:t>
      </w:r>
      <w:r>
        <w:rPr>
          <w:rFonts w:hint="default" w:ascii="Times New Roman" w:hAnsi="Times New Roman" w:eastAsia="仿宋_GB2312" w:cs="Times New Roman"/>
          <w:sz w:val="32"/>
          <w:szCs w:val="32"/>
        </w:rPr>
        <w:t>）的核心保护范围及其周边地下文物分布较为密集的区域。</w:t>
      </w:r>
    </w:p>
    <w:p w14:paraId="52BF3CD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5.已公布或参照管理的地下文物埋藏区，</w:t>
      </w:r>
      <w:r>
        <w:rPr>
          <w:rFonts w:hint="default" w:ascii="Times New Roman" w:hAnsi="Times New Roman" w:eastAsia="仿宋_GB2312" w:cs="Times New Roman"/>
          <w:sz w:val="32"/>
          <w:szCs w:val="32"/>
          <w:lang w:val="en-US" w:eastAsia="zh-CN"/>
        </w:rPr>
        <w:t>如</w:t>
      </w:r>
      <w:r>
        <w:rPr>
          <w:rFonts w:hint="default" w:ascii="Times New Roman" w:hAnsi="Times New Roman" w:eastAsia="仿宋_GB2312" w:cs="Times New Roman"/>
          <w:sz w:val="32"/>
          <w:szCs w:val="32"/>
        </w:rPr>
        <w:t>苏州西部山区春秋古城遗址群地下文物集中埋藏区、苏州子城遗址（参照地下文物埋藏区管理），以及常熟市划定的一批地下文物埋藏区（常熟古城、虞山、尚湖等）。</w:t>
      </w:r>
    </w:p>
    <w:p w14:paraId="36843F5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6.历史上可能作为</w:t>
      </w:r>
      <w:r>
        <w:rPr>
          <w:rFonts w:hint="eastAsia" w:ascii="Times New Roman" w:hAnsi="Times New Roman" w:eastAsia="仿宋_GB2312" w:cs="Times New Roman"/>
          <w:sz w:val="32"/>
          <w:szCs w:val="32"/>
          <w:lang w:val="en-US" w:eastAsia="zh-CN"/>
        </w:rPr>
        <w:t>区域政治中心、交通中心、</w:t>
      </w:r>
      <w:r>
        <w:rPr>
          <w:rFonts w:hint="default" w:ascii="Times New Roman" w:hAnsi="Times New Roman" w:eastAsia="仿宋_GB2312" w:cs="Times New Roman"/>
          <w:sz w:val="32"/>
          <w:szCs w:val="32"/>
        </w:rPr>
        <w:t>军事要地</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rPr>
        <w:t>区域。</w:t>
      </w:r>
    </w:p>
    <w:p w14:paraId="5A73F06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7.地下文物分布较为密集的其他区域。</w:t>
      </w:r>
    </w:p>
    <w:p w14:paraId="10B0197C">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二类区域包括：</w:t>
      </w:r>
    </w:p>
    <w:p w14:paraId="79E8E66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除一类区域和三类区域以外的区域。</w:t>
      </w:r>
    </w:p>
    <w:p w14:paraId="2944519F">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三类区域包括：</w:t>
      </w:r>
    </w:p>
    <w:p w14:paraId="3F0873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1.1911年以后形成的沿长江</w:t>
      </w:r>
      <w:r>
        <w:rPr>
          <w:rFonts w:hint="eastAsia" w:ascii="Times New Roman" w:hAnsi="Times New Roman" w:eastAsia="仿宋_GB2312" w:cs="Times New Roman"/>
          <w:sz w:val="32"/>
          <w:szCs w:val="32"/>
          <w:lang w:val="en-US" w:eastAsia="zh-CN"/>
        </w:rPr>
        <w:t>滩涂</w:t>
      </w:r>
      <w:r>
        <w:rPr>
          <w:rFonts w:hint="default" w:ascii="Times New Roman" w:hAnsi="Times New Roman" w:eastAsia="仿宋_GB2312" w:cs="Times New Roman"/>
          <w:sz w:val="32"/>
          <w:szCs w:val="32"/>
        </w:rPr>
        <w:t>、沙洲</w:t>
      </w:r>
      <w:r>
        <w:rPr>
          <w:rFonts w:hint="default" w:ascii="Times New Roman" w:hAnsi="Times New Roman" w:eastAsia="仿宋_GB2312" w:cs="Times New Roman"/>
          <w:sz w:val="32"/>
          <w:szCs w:val="32"/>
          <w:lang w:val="en-US" w:eastAsia="zh-CN"/>
        </w:rPr>
        <w:t>及其附近无已知地下文物</w:t>
      </w:r>
      <w:r>
        <w:rPr>
          <w:rFonts w:hint="default" w:ascii="Times New Roman" w:hAnsi="Times New Roman" w:eastAsia="仿宋_GB2312" w:cs="Times New Roman"/>
          <w:sz w:val="32"/>
          <w:szCs w:val="32"/>
        </w:rPr>
        <w:t>的区域。</w:t>
      </w:r>
    </w:p>
    <w:p w14:paraId="78CCF9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2.位于</w:t>
      </w:r>
      <w:r>
        <w:rPr>
          <w:rFonts w:hint="default" w:ascii="Times New Roman" w:hAnsi="Times New Roman" w:eastAsia="仿宋_GB2312" w:cs="Times New Roman"/>
          <w:sz w:val="32"/>
          <w:szCs w:val="32"/>
          <w:lang w:val="en-US" w:eastAsia="zh-CN"/>
        </w:rPr>
        <w:t>无法具备考古工作条件的</w:t>
      </w:r>
      <w:r>
        <w:rPr>
          <w:rFonts w:hint="default" w:ascii="Times New Roman" w:hAnsi="Times New Roman" w:eastAsia="仿宋_GB2312" w:cs="Times New Roman"/>
          <w:sz w:val="32"/>
          <w:szCs w:val="32"/>
        </w:rPr>
        <w:t>太湖、阳澄湖、金鸡湖、独墅湖等常年水域范围内。</w:t>
      </w:r>
    </w:p>
    <w:p w14:paraId="68DFFE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3.1911年以后露天采石采矿形成的大型坑塘。</w:t>
      </w:r>
    </w:p>
    <w:p w14:paraId="4A08D2B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4.已完成考古调查勘探或文物资源区域评估未发现文物且经法定程序确认的区域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已完成考古发掘且无原址保护要求的区域。</w:t>
      </w:r>
    </w:p>
    <w:p w14:paraId="4ECD2E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5.经科学论证，</w:t>
      </w:r>
      <w:r>
        <w:rPr>
          <w:rFonts w:hint="eastAsia" w:ascii="Times New Roman" w:hAnsi="Times New Roman" w:eastAsia="仿宋_GB2312" w:cs="Times New Roman"/>
          <w:sz w:val="32"/>
          <w:szCs w:val="32"/>
          <w:lang w:val="en-US" w:eastAsia="zh-CN"/>
        </w:rPr>
        <w:t>其他</w:t>
      </w:r>
      <w:r>
        <w:rPr>
          <w:rFonts w:hint="default" w:ascii="Times New Roman" w:hAnsi="Times New Roman" w:eastAsia="仿宋_GB2312" w:cs="Times New Roman"/>
          <w:sz w:val="32"/>
          <w:szCs w:val="32"/>
        </w:rPr>
        <w:t>不具备地下文物埋藏条件的区域。</w:t>
      </w:r>
    </w:p>
    <w:p w14:paraId="053A35A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三类</w:t>
      </w:r>
      <w:r>
        <w:rPr>
          <w:rFonts w:hint="default" w:ascii="Times New Roman" w:hAnsi="Times New Roman" w:eastAsia="仿宋_GB2312" w:cs="Times New Roman"/>
          <w:sz w:val="32"/>
          <w:szCs w:val="32"/>
        </w:rPr>
        <w:t>区域</w:t>
      </w:r>
      <w:r>
        <w:rPr>
          <w:rFonts w:hint="eastAsia" w:ascii="Times New Roman" w:hAnsi="Times New Roman" w:eastAsia="仿宋_GB2312" w:cs="Times New Roman"/>
          <w:sz w:val="32"/>
          <w:szCs w:val="32"/>
          <w:lang w:val="en-US" w:eastAsia="zh-CN"/>
        </w:rPr>
        <w:t>之间的</w:t>
      </w:r>
      <w:r>
        <w:rPr>
          <w:rFonts w:hint="default" w:ascii="Times New Roman" w:hAnsi="Times New Roman" w:eastAsia="仿宋_GB2312" w:cs="Times New Roman"/>
          <w:sz w:val="32"/>
          <w:szCs w:val="32"/>
        </w:rPr>
        <w:t>界线</w:t>
      </w:r>
      <w:r>
        <w:rPr>
          <w:rFonts w:hint="eastAsia" w:ascii="Times New Roman" w:hAnsi="Times New Roman" w:eastAsia="仿宋_GB2312" w:cs="Times New Roman"/>
          <w:sz w:val="32"/>
          <w:szCs w:val="32"/>
          <w:lang w:val="en-US" w:eastAsia="zh-CN"/>
        </w:rPr>
        <w:t>原则上</w:t>
      </w:r>
      <w:r>
        <w:rPr>
          <w:rFonts w:hint="default" w:ascii="Times New Roman" w:hAnsi="Times New Roman" w:eastAsia="仿宋_GB2312" w:cs="Times New Roman"/>
          <w:sz w:val="32"/>
          <w:szCs w:val="32"/>
        </w:rPr>
        <w:t>以</w:t>
      </w:r>
      <w:r>
        <w:rPr>
          <w:rFonts w:hint="eastAsia" w:ascii="Times New Roman" w:hAnsi="Times New Roman" w:eastAsia="仿宋_GB2312" w:cs="Times New Roman"/>
          <w:sz w:val="32"/>
          <w:szCs w:val="32"/>
          <w:lang w:val="en-US" w:eastAsia="zh-CN"/>
        </w:rPr>
        <w:t>现行乡镇（街道）的行政区划和相对稳定的河流、山川、道路等既有地物</w:t>
      </w:r>
      <w:r>
        <w:rPr>
          <w:rFonts w:hint="default" w:ascii="Times New Roman" w:hAnsi="Times New Roman" w:eastAsia="仿宋_GB2312" w:cs="Times New Roman"/>
          <w:sz w:val="32"/>
          <w:szCs w:val="32"/>
        </w:rPr>
        <w:t>合理确定。</w:t>
      </w:r>
    </w:p>
    <w:p w14:paraId="7F61A6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五、工作概况</w:t>
      </w:r>
    </w:p>
    <w:p w14:paraId="4DBD290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（一）工作综述</w:t>
      </w:r>
    </w:p>
    <w:p w14:paraId="0BA1F3F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1.组织机构</w:t>
      </w:r>
    </w:p>
    <w:p w14:paraId="456B0D6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本次划分工作由苏州市文物局牵头组织，各县级市（区）文物行政部门共同参与，联合专业测绘团队协同推进。</w:t>
      </w:r>
    </w:p>
    <w:p w14:paraId="6E4C8E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2.队伍组成</w:t>
      </w:r>
    </w:p>
    <w:p w14:paraId="2E03EC9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工作队伍由市文物局分管负责同志、局考古</w:t>
      </w:r>
      <w:r>
        <w:rPr>
          <w:rFonts w:hint="eastAsia" w:ascii="Times New Roman" w:hAnsi="Times New Roman" w:eastAsia="仿宋_GB2312" w:cs="Times New Roman"/>
          <w:sz w:val="32"/>
          <w:szCs w:val="32"/>
          <w:lang w:val="en-US" w:eastAsia="zh-CN"/>
        </w:rPr>
        <w:t>管理</w:t>
      </w:r>
      <w:r>
        <w:rPr>
          <w:rFonts w:hint="default" w:ascii="Times New Roman" w:hAnsi="Times New Roman" w:eastAsia="仿宋_GB2312" w:cs="Times New Roman"/>
          <w:sz w:val="32"/>
          <w:szCs w:val="32"/>
        </w:rPr>
        <w:t>处，各县级市（区）文物行政部门分管负责同志及相关内设机构负责同志，苏州市测绘院有限责任公司、苏州工业园区测绘地理信息公司等专业力量组成。</w:t>
      </w:r>
    </w:p>
    <w:p w14:paraId="7F1239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3.工作时间</w:t>
      </w:r>
      <w:r>
        <w:rPr>
          <w:rFonts w:hint="eastAsia" w:ascii="Times New Roman" w:hAnsi="Times New Roman" w:eastAsia="仿宋_GB2312" w:cs="Times New Roman"/>
          <w:sz w:val="32"/>
          <w:szCs w:val="32"/>
          <w:lang w:val="en-US" w:eastAsia="zh-CN"/>
        </w:rPr>
        <w:t>与范围</w:t>
      </w:r>
    </w:p>
    <w:p w14:paraId="3F0DD32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工作于202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月启动，以昆山市为试点先行先试，取得经验后向全市推开</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至2026年6月底完成全部工作，</w:t>
      </w:r>
      <w:r>
        <w:rPr>
          <w:rFonts w:hint="eastAsia" w:ascii="Times New Roman" w:hAnsi="Times New Roman" w:eastAsia="仿宋_GB2312" w:cs="Times New Roman"/>
          <w:sz w:val="32"/>
          <w:szCs w:val="32"/>
          <w:lang w:val="en-US" w:eastAsia="zh-CN"/>
        </w:rPr>
        <w:t>项目</w:t>
      </w:r>
      <w:r>
        <w:rPr>
          <w:rFonts w:hint="default" w:ascii="Times New Roman" w:hAnsi="Times New Roman" w:eastAsia="仿宋_GB2312" w:cs="Times New Roman"/>
          <w:sz w:val="32"/>
          <w:szCs w:val="32"/>
        </w:rPr>
        <w:t>周期6个月。工作区域覆盖苏州市全部行政辖区。</w:t>
      </w:r>
    </w:p>
    <w:p w14:paraId="50705C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.工作过程</w:t>
      </w:r>
    </w:p>
    <w:p w14:paraId="5BA433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阶段：前期筹备与资料收集。系统收集全市第四次全国不可移动文物普查数据、各级文物保护单位保护范围及建设控制地带公布文件、历史文化名城名镇名村保护规划、历年考古调查勘探发掘成果报告、地方志与历史地图等文献资料、地形地貌与地质条件等自然地理资料。</w:t>
      </w:r>
    </w:p>
    <w:p w14:paraId="35E68DC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第二阶段：数据分析评估。在GIS平台上将文物资源分布数据、历史地图数据、地形地貌数据进行叠加分析，综合研判各区域存在地下文物的可能性大小，形成初步评估结论。</w:t>
      </w:r>
    </w:p>
    <w:p w14:paraId="0207BA4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第三阶段：分类划分与成果编制。依据数据分析评估结果，按照省《指南》规定的划分标准，初步划定一类、二类、三类可能存在地下文物区域，编制说明文本与分类地图初稿。</w:t>
      </w:r>
    </w:p>
    <w:p w14:paraId="61D03B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第四阶段：论证与公示。组织召开专家论证会，书面征求相关部门及各县级市（区）意见，按规定向社会公示。根据反馈意见修改完善，形成正式成果，报省文物局审核。</w:t>
      </w:r>
    </w:p>
    <w:p w14:paraId="7AF4AE7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 主要收获</w:t>
      </w:r>
    </w:p>
    <w:p w14:paraId="2752195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通过本次划分工作，全面摸清了苏州市</w:t>
      </w:r>
      <w:r>
        <w:rPr>
          <w:rFonts w:hint="eastAsia" w:ascii="Times New Roman" w:hAnsi="Times New Roman" w:eastAsia="仿宋_GB2312" w:cs="Times New Roman"/>
          <w:sz w:val="32"/>
          <w:szCs w:val="32"/>
          <w:lang w:val="en-US" w:eastAsia="zh-CN"/>
        </w:rPr>
        <w:t>已知</w:t>
      </w:r>
      <w:r>
        <w:rPr>
          <w:rFonts w:hint="default" w:ascii="Times New Roman" w:hAnsi="Times New Roman" w:eastAsia="仿宋_GB2312" w:cs="Times New Roman"/>
          <w:sz w:val="32"/>
          <w:szCs w:val="32"/>
        </w:rPr>
        <w:t>地下文物空间分布情况，科学划定了可能存在地下文物的区域范围，形成了图文并茂、</w:t>
      </w:r>
      <w:r>
        <w:rPr>
          <w:rFonts w:hint="eastAsia" w:ascii="Times New Roman" w:hAnsi="Times New Roman" w:eastAsia="仿宋_GB2312" w:cs="Times New Roman"/>
          <w:sz w:val="32"/>
          <w:szCs w:val="32"/>
          <w:lang w:val="en-US" w:eastAsia="zh-CN"/>
        </w:rPr>
        <w:t>较为</w:t>
      </w:r>
      <w:r>
        <w:rPr>
          <w:rFonts w:hint="default" w:ascii="Times New Roman" w:hAnsi="Times New Roman" w:eastAsia="仿宋_GB2312" w:cs="Times New Roman"/>
          <w:sz w:val="32"/>
          <w:szCs w:val="32"/>
        </w:rPr>
        <w:t>规范的文件成果。</w:t>
      </w:r>
    </w:p>
    <w:p w14:paraId="05A68D3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（二）工作内容</w:t>
      </w:r>
    </w:p>
    <w:p w14:paraId="23C964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基础资料采集与建库</w:t>
      </w:r>
    </w:p>
    <w:p w14:paraId="74E2E27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系统收集整理文物普查数据、保护规划文件、考古成果报告、历史文献、自然地理资料，建立覆盖全市域的多源信息数据库。</w:t>
      </w:r>
    </w:p>
    <w:p w14:paraId="37463D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评估标准细化</w:t>
      </w:r>
    </w:p>
    <w:p w14:paraId="10499ED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在省《指南》通用标准基础上，结合苏州实际，细化一类、二类、三类区域的具体划分标准，明确各类区域的认定条件和边界划定原则。</w:t>
      </w:r>
    </w:p>
    <w:p w14:paraId="50394FB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分类地图编制</w:t>
      </w:r>
    </w:p>
    <w:p w14:paraId="228E82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以国土空间规划图为底图，绘制苏州市可能存在地下文物区域分类地图，做到图属一致、边界清晰、层次分明，实现与国土空间规划的有效衔接。</w:t>
      </w:r>
    </w:p>
    <w:p w14:paraId="250AC4E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成果文件编制</w:t>
      </w:r>
    </w:p>
    <w:p w14:paraId="1FD8C4C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编写《苏州市可能存在地下文物区域划分工作成果说明》，包括划分背景、依据、标准、结果及技术要求等完整内容，并附相关部门意见、专家论证意见、公示结果及分类地图等附件。</w:t>
      </w:r>
    </w:p>
    <w:p w14:paraId="6063066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（三）工作附件</w:t>
      </w:r>
    </w:p>
    <w:p w14:paraId="119D71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1.苏州市自然资源和规划局、苏州市住房和城乡建设局等相关部门意见</w:t>
      </w:r>
    </w:p>
    <w:p w14:paraId="2F01DB9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2.专家论证意见</w:t>
      </w:r>
    </w:p>
    <w:p w14:paraId="3470D33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3.公示结果及收集意见采纳情况说明</w:t>
      </w:r>
    </w:p>
    <w:p w14:paraId="67C9B31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六、划分结果</w:t>
      </w:r>
    </w:p>
    <w:p w14:paraId="39C8DA9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（一）总体情况</w:t>
      </w:r>
    </w:p>
    <w:p w14:paraId="07FB17A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经划分，苏州市可能存在地下文物区域总面积约8657.32平方公里。其中：一类区域面积817.</w:t>
      </w:r>
      <w:r>
        <w:rPr>
          <w:rFonts w:hint="eastAsia" w:ascii="Times New Roman" w:hAnsi="Times New Roman" w:eastAsia="仿宋_GB2312" w:cs="Times New Roman"/>
          <w:sz w:val="32"/>
          <w:szCs w:val="32"/>
          <w:lang w:val="en-US" w:eastAsia="zh-CN"/>
        </w:rPr>
        <w:t>51</w:t>
      </w:r>
      <w:r>
        <w:rPr>
          <w:rFonts w:hint="default" w:ascii="Times New Roman" w:hAnsi="Times New Roman" w:eastAsia="仿宋_GB2312" w:cs="Times New Roman"/>
          <w:sz w:val="32"/>
          <w:szCs w:val="32"/>
        </w:rPr>
        <w:t>平方公里，占比9.4</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%；二类区域面积4734.69平方公里，占比54.69%；三类区域面积3105.13平方公里</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占比35.87%。</w:t>
      </w:r>
    </w:p>
    <w:p w14:paraId="37635BB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（二）各</w:t>
      </w:r>
      <w:r>
        <w:rPr>
          <w:rFonts w:hint="eastAsia" w:ascii="Times New Roman" w:hAnsi="Times New Roman" w:eastAsia="楷体" w:cs="Times New Roman"/>
          <w:sz w:val="32"/>
          <w:szCs w:val="32"/>
          <w:lang w:val="en-US" w:eastAsia="zh-CN"/>
        </w:rPr>
        <w:t>县级市（区）</w:t>
      </w:r>
      <w:r>
        <w:rPr>
          <w:rFonts w:hint="default" w:ascii="Times New Roman" w:hAnsi="Times New Roman" w:eastAsia="楷体" w:cs="Times New Roman"/>
          <w:sz w:val="32"/>
          <w:szCs w:val="32"/>
        </w:rPr>
        <w:t>分布情况</w:t>
      </w:r>
    </w:p>
    <w:p w14:paraId="100D3218">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表1 各</w:t>
      </w:r>
      <w:r>
        <w:rPr>
          <w:rFonts w:hint="eastAsia" w:ascii="Times New Roman" w:hAnsi="Times New Roman" w:eastAsia="仿宋_GB2312" w:cs="Times New Roman"/>
          <w:sz w:val="32"/>
          <w:szCs w:val="32"/>
          <w:lang w:val="en-US" w:eastAsia="zh-CN"/>
        </w:rPr>
        <w:t>县级市（区）</w:t>
      </w:r>
      <w:r>
        <w:rPr>
          <w:rFonts w:hint="default" w:ascii="Times New Roman" w:hAnsi="Times New Roman" w:eastAsia="仿宋_GB2312" w:cs="Times New Roman"/>
          <w:sz w:val="32"/>
          <w:szCs w:val="32"/>
        </w:rPr>
        <w:t>可能存在地下文物分布区域分类划分成果</w:t>
      </w:r>
    </w:p>
    <w:tbl>
      <w:tblPr>
        <w:tblStyle w:val="5"/>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1"/>
        <w:gridCol w:w="1483"/>
        <w:gridCol w:w="1035"/>
        <w:gridCol w:w="1109"/>
        <w:gridCol w:w="1055"/>
        <w:gridCol w:w="1072"/>
        <w:gridCol w:w="1064"/>
        <w:gridCol w:w="1145"/>
        <w:gridCol w:w="1064"/>
      </w:tblGrid>
      <w:tr w14:paraId="0143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611" w:type="dxa"/>
            <w:noWrap w:val="0"/>
            <w:vAlign w:val="center"/>
          </w:tcPr>
          <w:p w14:paraId="62A597DA">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序号</w:t>
            </w:r>
          </w:p>
        </w:tc>
        <w:tc>
          <w:tcPr>
            <w:tcW w:w="1483" w:type="dxa"/>
            <w:noWrap w:val="0"/>
            <w:vAlign w:val="center"/>
          </w:tcPr>
          <w:p w14:paraId="503819F7">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区划</w:t>
            </w:r>
          </w:p>
        </w:tc>
        <w:tc>
          <w:tcPr>
            <w:tcW w:w="1035" w:type="dxa"/>
            <w:noWrap w:val="0"/>
            <w:vAlign w:val="center"/>
          </w:tcPr>
          <w:p w14:paraId="5DD32E30">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区划面积（km</w:t>
            </w:r>
            <w:r>
              <w:rPr>
                <w:rFonts w:hint="eastAsia" w:ascii="仿宋" w:hAnsi="仿宋" w:eastAsia="仿宋" w:cs="仿宋"/>
                <w:b/>
                <w:bCs/>
                <w:spacing w:val="-6"/>
                <w:sz w:val="21"/>
                <w:szCs w:val="21"/>
                <w:vertAlign w:val="superscript"/>
                <w:lang w:eastAsia="zh-CN"/>
              </w:rPr>
              <w:t>2</w:t>
            </w:r>
            <w:r>
              <w:rPr>
                <w:rFonts w:hint="eastAsia" w:ascii="仿宋" w:hAnsi="仿宋" w:eastAsia="仿宋" w:cs="仿宋"/>
                <w:b/>
                <w:bCs/>
                <w:spacing w:val="-6"/>
                <w:sz w:val="21"/>
                <w:szCs w:val="21"/>
                <w:lang w:eastAsia="zh-CN"/>
              </w:rPr>
              <w:t>）</w:t>
            </w:r>
          </w:p>
        </w:tc>
        <w:tc>
          <w:tcPr>
            <w:tcW w:w="1109" w:type="dxa"/>
            <w:noWrap w:val="0"/>
            <w:vAlign w:val="center"/>
          </w:tcPr>
          <w:p w14:paraId="5EA9D15E">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一类区域</w:t>
            </w:r>
          </w:p>
          <w:p w14:paraId="087485CF">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面积（km</w:t>
            </w:r>
            <w:r>
              <w:rPr>
                <w:rFonts w:hint="eastAsia" w:ascii="仿宋" w:hAnsi="仿宋" w:eastAsia="仿宋" w:cs="仿宋"/>
                <w:b/>
                <w:bCs/>
                <w:spacing w:val="-6"/>
                <w:sz w:val="21"/>
                <w:szCs w:val="21"/>
                <w:vertAlign w:val="superscript"/>
                <w:lang w:eastAsia="zh-CN"/>
              </w:rPr>
              <w:t>2</w:t>
            </w:r>
            <w:r>
              <w:rPr>
                <w:rFonts w:hint="eastAsia" w:ascii="仿宋" w:hAnsi="仿宋" w:eastAsia="仿宋" w:cs="仿宋"/>
                <w:b/>
                <w:bCs/>
                <w:spacing w:val="-6"/>
                <w:sz w:val="21"/>
                <w:szCs w:val="21"/>
                <w:lang w:eastAsia="zh-CN"/>
              </w:rPr>
              <w:t>）</w:t>
            </w:r>
          </w:p>
        </w:tc>
        <w:tc>
          <w:tcPr>
            <w:tcW w:w="1055" w:type="dxa"/>
            <w:noWrap w:val="0"/>
            <w:vAlign w:val="center"/>
          </w:tcPr>
          <w:p w14:paraId="78A769C6">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一类区域</w:t>
            </w:r>
          </w:p>
          <w:p w14:paraId="756BECDC">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占比</w:t>
            </w:r>
          </w:p>
        </w:tc>
        <w:tc>
          <w:tcPr>
            <w:tcW w:w="1072" w:type="dxa"/>
            <w:noWrap w:val="0"/>
            <w:vAlign w:val="center"/>
          </w:tcPr>
          <w:p w14:paraId="06796CF7">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二类区域</w:t>
            </w:r>
          </w:p>
          <w:p w14:paraId="197D3B16">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面积（km</w:t>
            </w:r>
            <w:r>
              <w:rPr>
                <w:rFonts w:hint="eastAsia" w:ascii="仿宋" w:hAnsi="仿宋" w:eastAsia="仿宋" w:cs="仿宋"/>
                <w:b/>
                <w:bCs/>
                <w:spacing w:val="-6"/>
                <w:sz w:val="21"/>
                <w:szCs w:val="21"/>
                <w:vertAlign w:val="superscript"/>
                <w:lang w:eastAsia="zh-CN"/>
              </w:rPr>
              <w:t>2</w:t>
            </w:r>
            <w:r>
              <w:rPr>
                <w:rFonts w:hint="eastAsia" w:ascii="仿宋" w:hAnsi="仿宋" w:eastAsia="仿宋" w:cs="仿宋"/>
                <w:b/>
                <w:bCs/>
                <w:spacing w:val="-6"/>
                <w:sz w:val="21"/>
                <w:szCs w:val="21"/>
                <w:lang w:eastAsia="zh-CN"/>
              </w:rPr>
              <w:t>）</w:t>
            </w:r>
          </w:p>
        </w:tc>
        <w:tc>
          <w:tcPr>
            <w:tcW w:w="1064" w:type="dxa"/>
            <w:noWrap w:val="0"/>
            <w:vAlign w:val="center"/>
          </w:tcPr>
          <w:p w14:paraId="72CA0402">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二类区域</w:t>
            </w:r>
          </w:p>
          <w:p w14:paraId="17243DA4">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占比</w:t>
            </w:r>
          </w:p>
        </w:tc>
        <w:tc>
          <w:tcPr>
            <w:tcW w:w="1145" w:type="dxa"/>
            <w:noWrap w:val="0"/>
            <w:vAlign w:val="center"/>
          </w:tcPr>
          <w:p w14:paraId="6334CA47">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三类区域</w:t>
            </w:r>
          </w:p>
          <w:p w14:paraId="1477D1DC">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面积（km</w:t>
            </w:r>
            <w:r>
              <w:rPr>
                <w:rFonts w:hint="eastAsia" w:ascii="仿宋" w:hAnsi="仿宋" w:eastAsia="仿宋" w:cs="仿宋"/>
                <w:b/>
                <w:bCs/>
                <w:spacing w:val="-6"/>
                <w:sz w:val="21"/>
                <w:szCs w:val="21"/>
                <w:vertAlign w:val="superscript"/>
                <w:lang w:eastAsia="zh-CN"/>
              </w:rPr>
              <w:t>2</w:t>
            </w:r>
            <w:r>
              <w:rPr>
                <w:rFonts w:hint="eastAsia" w:ascii="仿宋" w:hAnsi="仿宋" w:eastAsia="仿宋" w:cs="仿宋"/>
                <w:b/>
                <w:bCs/>
                <w:spacing w:val="-6"/>
                <w:sz w:val="21"/>
                <w:szCs w:val="21"/>
                <w:lang w:eastAsia="zh-CN"/>
              </w:rPr>
              <w:t>）</w:t>
            </w:r>
          </w:p>
        </w:tc>
        <w:tc>
          <w:tcPr>
            <w:tcW w:w="1064" w:type="dxa"/>
            <w:noWrap w:val="0"/>
            <w:vAlign w:val="center"/>
          </w:tcPr>
          <w:p w14:paraId="42A7B37F">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三类区域</w:t>
            </w:r>
          </w:p>
          <w:p w14:paraId="5209F54B">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占比</w:t>
            </w:r>
          </w:p>
        </w:tc>
      </w:tr>
      <w:tr w14:paraId="7F8E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211BF6B6">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1</w:t>
            </w:r>
          </w:p>
        </w:tc>
        <w:tc>
          <w:tcPr>
            <w:tcW w:w="1483" w:type="dxa"/>
            <w:noWrap w:val="0"/>
            <w:vAlign w:val="center"/>
          </w:tcPr>
          <w:p w14:paraId="51DBFF2C">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张家港市</w:t>
            </w:r>
          </w:p>
        </w:tc>
        <w:tc>
          <w:tcPr>
            <w:tcW w:w="1035" w:type="dxa"/>
            <w:tcBorders>
              <w:top w:val="single" w:color="auto" w:sz="4" w:space="0"/>
              <w:left w:val="single" w:color="auto" w:sz="4" w:space="0"/>
              <w:bottom w:val="single" w:color="auto" w:sz="4" w:space="0"/>
              <w:right w:val="single" w:color="auto" w:sz="4" w:space="0"/>
            </w:tcBorders>
            <w:noWrap w:val="0"/>
            <w:vAlign w:val="center"/>
          </w:tcPr>
          <w:p w14:paraId="610D4016">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986.73</w:t>
            </w:r>
          </w:p>
        </w:tc>
        <w:tc>
          <w:tcPr>
            <w:tcW w:w="1109" w:type="dxa"/>
            <w:tcBorders>
              <w:top w:val="single" w:color="auto" w:sz="4" w:space="0"/>
              <w:left w:val="nil"/>
              <w:bottom w:val="single" w:color="auto" w:sz="4" w:space="0"/>
              <w:right w:val="single" w:color="auto" w:sz="4" w:space="0"/>
            </w:tcBorders>
            <w:noWrap w:val="0"/>
            <w:vAlign w:val="center"/>
          </w:tcPr>
          <w:p w14:paraId="178D8DB2">
            <w:pPr>
              <w:jc w:val="center"/>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lang w:val="en-US" w:eastAsia="zh-CN"/>
              </w:rPr>
              <w:t>37.63</w:t>
            </w:r>
          </w:p>
        </w:tc>
        <w:tc>
          <w:tcPr>
            <w:tcW w:w="1055" w:type="dxa"/>
            <w:tcBorders>
              <w:top w:val="single" w:color="auto" w:sz="4" w:space="0"/>
              <w:left w:val="nil"/>
              <w:bottom w:val="single" w:color="auto" w:sz="4" w:space="0"/>
              <w:right w:val="single" w:color="auto" w:sz="4" w:space="0"/>
            </w:tcBorders>
            <w:noWrap w:val="0"/>
            <w:vAlign w:val="center"/>
          </w:tcPr>
          <w:p w14:paraId="38AA8B1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3.81%</w:t>
            </w:r>
          </w:p>
        </w:tc>
        <w:tc>
          <w:tcPr>
            <w:tcW w:w="1072" w:type="dxa"/>
            <w:tcBorders>
              <w:top w:val="single" w:color="auto" w:sz="4" w:space="0"/>
              <w:left w:val="nil"/>
              <w:bottom w:val="single" w:color="auto" w:sz="4" w:space="0"/>
              <w:right w:val="single" w:color="auto" w:sz="4" w:space="0"/>
            </w:tcBorders>
            <w:noWrap w:val="0"/>
            <w:vAlign w:val="center"/>
          </w:tcPr>
          <w:p w14:paraId="70016896">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331.15</w:t>
            </w:r>
          </w:p>
        </w:tc>
        <w:tc>
          <w:tcPr>
            <w:tcW w:w="1064" w:type="dxa"/>
            <w:tcBorders>
              <w:top w:val="single" w:color="auto" w:sz="4" w:space="0"/>
              <w:left w:val="nil"/>
              <w:bottom w:val="single" w:color="auto" w:sz="4" w:space="0"/>
              <w:right w:val="single" w:color="auto" w:sz="4" w:space="0"/>
            </w:tcBorders>
            <w:noWrap w:val="0"/>
            <w:vAlign w:val="center"/>
          </w:tcPr>
          <w:p w14:paraId="0BBD9058">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33.56%</w:t>
            </w:r>
          </w:p>
        </w:tc>
        <w:tc>
          <w:tcPr>
            <w:tcW w:w="1145" w:type="dxa"/>
            <w:tcBorders>
              <w:top w:val="single" w:color="auto" w:sz="4" w:space="0"/>
              <w:left w:val="nil"/>
              <w:bottom w:val="single" w:color="auto" w:sz="4" w:space="0"/>
              <w:right w:val="single" w:color="auto" w:sz="4" w:space="0"/>
            </w:tcBorders>
            <w:noWrap w:val="0"/>
            <w:vAlign w:val="center"/>
          </w:tcPr>
          <w:p w14:paraId="705AE16F">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617.95</w:t>
            </w:r>
          </w:p>
        </w:tc>
        <w:tc>
          <w:tcPr>
            <w:tcW w:w="1064" w:type="dxa"/>
            <w:tcBorders>
              <w:top w:val="single" w:color="auto" w:sz="4" w:space="0"/>
              <w:left w:val="nil"/>
              <w:bottom w:val="single" w:color="auto" w:sz="4" w:space="0"/>
              <w:right w:val="single" w:color="auto" w:sz="4" w:space="0"/>
            </w:tcBorders>
            <w:noWrap w:val="0"/>
            <w:vAlign w:val="center"/>
          </w:tcPr>
          <w:p w14:paraId="5756A6D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62.63%</w:t>
            </w:r>
          </w:p>
        </w:tc>
      </w:tr>
      <w:tr w14:paraId="04B15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7BBB0029">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2</w:t>
            </w:r>
          </w:p>
        </w:tc>
        <w:tc>
          <w:tcPr>
            <w:tcW w:w="1483" w:type="dxa"/>
            <w:noWrap w:val="0"/>
            <w:vAlign w:val="center"/>
          </w:tcPr>
          <w:p w14:paraId="6F9A9B8A">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常熟市</w:t>
            </w:r>
          </w:p>
        </w:tc>
        <w:tc>
          <w:tcPr>
            <w:tcW w:w="1035" w:type="dxa"/>
            <w:tcBorders>
              <w:top w:val="nil"/>
              <w:left w:val="single" w:color="auto" w:sz="4" w:space="0"/>
              <w:bottom w:val="single" w:color="auto" w:sz="4" w:space="0"/>
              <w:right w:val="single" w:color="auto" w:sz="4" w:space="0"/>
            </w:tcBorders>
            <w:noWrap w:val="0"/>
            <w:vAlign w:val="center"/>
          </w:tcPr>
          <w:p w14:paraId="75C03590">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1276.32</w:t>
            </w:r>
          </w:p>
        </w:tc>
        <w:tc>
          <w:tcPr>
            <w:tcW w:w="1109" w:type="dxa"/>
            <w:tcBorders>
              <w:top w:val="nil"/>
              <w:left w:val="nil"/>
              <w:bottom w:val="single" w:color="auto" w:sz="4" w:space="0"/>
              <w:right w:val="single" w:color="auto" w:sz="4" w:space="0"/>
            </w:tcBorders>
            <w:noWrap w:val="0"/>
            <w:vAlign w:val="center"/>
          </w:tcPr>
          <w:p w14:paraId="5BAD3272">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55.86</w:t>
            </w:r>
          </w:p>
        </w:tc>
        <w:tc>
          <w:tcPr>
            <w:tcW w:w="1055" w:type="dxa"/>
            <w:tcBorders>
              <w:top w:val="nil"/>
              <w:left w:val="nil"/>
              <w:bottom w:val="single" w:color="auto" w:sz="4" w:space="0"/>
              <w:right w:val="single" w:color="auto" w:sz="4" w:space="0"/>
            </w:tcBorders>
            <w:noWrap w:val="0"/>
            <w:vAlign w:val="center"/>
          </w:tcPr>
          <w:p w14:paraId="74E87E9A">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4.38%</w:t>
            </w:r>
          </w:p>
        </w:tc>
        <w:tc>
          <w:tcPr>
            <w:tcW w:w="1072" w:type="dxa"/>
            <w:tcBorders>
              <w:top w:val="nil"/>
              <w:left w:val="nil"/>
              <w:bottom w:val="single" w:color="auto" w:sz="4" w:space="0"/>
              <w:right w:val="single" w:color="auto" w:sz="4" w:space="0"/>
            </w:tcBorders>
            <w:noWrap w:val="0"/>
            <w:vAlign w:val="center"/>
          </w:tcPr>
          <w:p w14:paraId="75CBA7FD">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1025.66</w:t>
            </w:r>
          </w:p>
        </w:tc>
        <w:tc>
          <w:tcPr>
            <w:tcW w:w="1064" w:type="dxa"/>
            <w:tcBorders>
              <w:top w:val="nil"/>
              <w:left w:val="nil"/>
              <w:bottom w:val="single" w:color="auto" w:sz="4" w:space="0"/>
              <w:right w:val="single" w:color="auto" w:sz="4" w:space="0"/>
            </w:tcBorders>
            <w:noWrap w:val="0"/>
            <w:vAlign w:val="center"/>
          </w:tcPr>
          <w:p w14:paraId="65954B16">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80.36%</w:t>
            </w:r>
          </w:p>
        </w:tc>
        <w:tc>
          <w:tcPr>
            <w:tcW w:w="1145" w:type="dxa"/>
            <w:tcBorders>
              <w:top w:val="nil"/>
              <w:left w:val="nil"/>
              <w:bottom w:val="single" w:color="auto" w:sz="4" w:space="0"/>
              <w:right w:val="single" w:color="auto" w:sz="4" w:space="0"/>
            </w:tcBorders>
            <w:noWrap w:val="0"/>
            <w:vAlign w:val="center"/>
          </w:tcPr>
          <w:p w14:paraId="5B3FE99C">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194.8</w:t>
            </w:r>
          </w:p>
        </w:tc>
        <w:tc>
          <w:tcPr>
            <w:tcW w:w="1064" w:type="dxa"/>
            <w:tcBorders>
              <w:top w:val="nil"/>
              <w:left w:val="nil"/>
              <w:bottom w:val="single" w:color="auto" w:sz="4" w:space="0"/>
              <w:right w:val="single" w:color="auto" w:sz="4" w:space="0"/>
            </w:tcBorders>
            <w:noWrap w:val="0"/>
            <w:vAlign w:val="center"/>
          </w:tcPr>
          <w:p w14:paraId="1FFCFFA4">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15.26%</w:t>
            </w:r>
          </w:p>
        </w:tc>
      </w:tr>
      <w:tr w14:paraId="45C7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0AAF6303">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3</w:t>
            </w:r>
          </w:p>
        </w:tc>
        <w:tc>
          <w:tcPr>
            <w:tcW w:w="1483" w:type="dxa"/>
            <w:noWrap w:val="0"/>
            <w:vAlign w:val="center"/>
          </w:tcPr>
          <w:p w14:paraId="4827E095">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太仓市</w:t>
            </w:r>
          </w:p>
        </w:tc>
        <w:tc>
          <w:tcPr>
            <w:tcW w:w="1035" w:type="dxa"/>
            <w:tcBorders>
              <w:top w:val="nil"/>
              <w:left w:val="single" w:color="auto" w:sz="4" w:space="0"/>
              <w:bottom w:val="single" w:color="auto" w:sz="4" w:space="0"/>
              <w:right w:val="single" w:color="auto" w:sz="4" w:space="0"/>
            </w:tcBorders>
            <w:noWrap w:val="0"/>
            <w:vAlign w:val="center"/>
          </w:tcPr>
          <w:p w14:paraId="18DD78C8">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809.93</w:t>
            </w:r>
          </w:p>
        </w:tc>
        <w:tc>
          <w:tcPr>
            <w:tcW w:w="1109" w:type="dxa"/>
            <w:tcBorders>
              <w:top w:val="nil"/>
              <w:left w:val="nil"/>
              <w:bottom w:val="single" w:color="auto" w:sz="4" w:space="0"/>
              <w:right w:val="single" w:color="auto" w:sz="4" w:space="0"/>
            </w:tcBorders>
            <w:noWrap w:val="0"/>
            <w:vAlign w:val="center"/>
          </w:tcPr>
          <w:p w14:paraId="3079F2EF">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75.95</w:t>
            </w:r>
          </w:p>
        </w:tc>
        <w:tc>
          <w:tcPr>
            <w:tcW w:w="1055" w:type="dxa"/>
            <w:tcBorders>
              <w:top w:val="nil"/>
              <w:left w:val="nil"/>
              <w:bottom w:val="single" w:color="auto" w:sz="4" w:space="0"/>
              <w:right w:val="single" w:color="auto" w:sz="4" w:space="0"/>
            </w:tcBorders>
            <w:noWrap w:val="0"/>
            <w:vAlign w:val="center"/>
          </w:tcPr>
          <w:p w14:paraId="5DF689F4">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9.38%</w:t>
            </w:r>
          </w:p>
        </w:tc>
        <w:tc>
          <w:tcPr>
            <w:tcW w:w="1072" w:type="dxa"/>
            <w:tcBorders>
              <w:top w:val="nil"/>
              <w:left w:val="nil"/>
              <w:bottom w:val="single" w:color="auto" w:sz="4" w:space="0"/>
              <w:right w:val="single" w:color="auto" w:sz="4" w:space="0"/>
            </w:tcBorders>
            <w:noWrap w:val="0"/>
            <w:vAlign w:val="center"/>
          </w:tcPr>
          <w:p w14:paraId="0E41EDE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549.30</w:t>
            </w:r>
          </w:p>
        </w:tc>
        <w:tc>
          <w:tcPr>
            <w:tcW w:w="1064" w:type="dxa"/>
            <w:tcBorders>
              <w:top w:val="nil"/>
              <w:left w:val="nil"/>
              <w:bottom w:val="single" w:color="auto" w:sz="4" w:space="0"/>
              <w:right w:val="single" w:color="auto" w:sz="4" w:space="0"/>
            </w:tcBorders>
            <w:noWrap w:val="0"/>
            <w:vAlign w:val="center"/>
          </w:tcPr>
          <w:p w14:paraId="41B35E45">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67.82%</w:t>
            </w:r>
          </w:p>
        </w:tc>
        <w:tc>
          <w:tcPr>
            <w:tcW w:w="1145" w:type="dxa"/>
            <w:tcBorders>
              <w:top w:val="nil"/>
              <w:left w:val="nil"/>
              <w:bottom w:val="single" w:color="auto" w:sz="4" w:space="0"/>
              <w:right w:val="single" w:color="auto" w:sz="4" w:space="0"/>
            </w:tcBorders>
            <w:noWrap w:val="0"/>
            <w:vAlign w:val="center"/>
          </w:tcPr>
          <w:p w14:paraId="0D312A17">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184.68</w:t>
            </w:r>
          </w:p>
        </w:tc>
        <w:tc>
          <w:tcPr>
            <w:tcW w:w="1064" w:type="dxa"/>
            <w:tcBorders>
              <w:top w:val="nil"/>
              <w:left w:val="nil"/>
              <w:bottom w:val="single" w:color="auto" w:sz="4" w:space="0"/>
              <w:right w:val="single" w:color="auto" w:sz="4" w:space="0"/>
            </w:tcBorders>
            <w:noWrap w:val="0"/>
            <w:vAlign w:val="center"/>
          </w:tcPr>
          <w:p w14:paraId="1D82656E">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22.80%</w:t>
            </w:r>
          </w:p>
        </w:tc>
      </w:tr>
      <w:tr w14:paraId="1F7F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5E35B1BF">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4</w:t>
            </w:r>
          </w:p>
        </w:tc>
        <w:tc>
          <w:tcPr>
            <w:tcW w:w="1483" w:type="dxa"/>
            <w:noWrap w:val="0"/>
            <w:vAlign w:val="center"/>
          </w:tcPr>
          <w:p w14:paraId="54C6B8E3">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昆山市</w:t>
            </w:r>
          </w:p>
        </w:tc>
        <w:tc>
          <w:tcPr>
            <w:tcW w:w="1035" w:type="dxa"/>
            <w:tcBorders>
              <w:top w:val="nil"/>
              <w:left w:val="single" w:color="auto" w:sz="4" w:space="0"/>
              <w:bottom w:val="single" w:color="auto" w:sz="4" w:space="0"/>
              <w:right w:val="single" w:color="auto" w:sz="4" w:space="0"/>
            </w:tcBorders>
            <w:noWrap w:val="0"/>
            <w:vAlign w:val="center"/>
          </w:tcPr>
          <w:p w14:paraId="632C9124">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931.51</w:t>
            </w:r>
          </w:p>
        </w:tc>
        <w:tc>
          <w:tcPr>
            <w:tcW w:w="1109" w:type="dxa"/>
            <w:tcBorders>
              <w:top w:val="nil"/>
              <w:left w:val="nil"/>
              <w:bottom w:val="single" w:color="auto" w:sz="4" w:space="0"/>
              <w:right w:val="single" w:color="auto" w:sz="4" w:space="0"/>
            </w:tcBorders>
            <w:noWrap w:val="0"/>
            <w:vAlign w:val="center"/>
          </w:tcPr>
          <w:p w14:paraId="102C0EEE">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203.9</w:t>
            </w:r>
          </w:p>
        </w:tc>
        <w:tc>
          <w:tcPr>
            <w:tcW w:w="1055" w:type="dxa"/>
            <w:tcBorders>
              <w:top w:val="nil"/>
              <w:left w:val="nil"/>
              <w:bottom w:val="single" w:color="auto" w:sz="4" w:space="0"/>
              <w:right w:val="single" w:color="auto" w:sz="4" w:space="0"/>
            </w:tcBorders>
            <w:noWrap w:val="0"/>
            <w:vAlign w:val="center"/>
          </w:tcPr>
          <w:p w14:paraId="3CA9ACF8">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21.89%</w:t>
            </w:r>
          </w:p>
        </w:tc>
        <w:tc>
          <w:tcPr>
            <w:tcW w:w="1072" w:type="dxa"/>
            <w:tcBorders>
              <w:top w:val="nil"/>
              <w:left w:val="nil"/>
              <w:bottom w:val="single" w:color="auto" w:sz="4" w:space="0"/>
              <w:right w:val="single" w:color="auto" w:sz="4" w:space="0"/>
            </w:tcBorders>
            <w:noWrap w:val="0"/>
            <w:vAlign w:val="center"/>
          </w:tcPr>
          <w:p w14:paraId="17DC1F3A">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636.19</w:t>
            </w:r>
          </w:p>
        </w:tc>
        <w:tc>
          <w:tcPr>
            <w:tcW w:w="1064" w:type="dxa"/>
            <w:tcBorders>
              <w:top w:val="nil"/>
              <w:left w:val="nil"/>
              <w:bottom w:val="single" w:color="auto" w:sz="4" w:space="0"/>
              <w:right w:val="single" w:color="auto" w:sz="4" w:space="0"/>
            </w:tcBorders>
            <w:noWrap w:val="0"/>
            <w:vAlign w:val="center"/>
          </w:tcPr>
          <w:p w14:paraId="5C8E00E2">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68.30%</w:t>
            </w:r>
          </w:p>
        </w:tc>
        <w:tc>
          <w:tcPr>
            <w:tcW w:w="1145" w:type="dxa"/>
            <w:tcBorders>
              <w:top w:val="nil"/>
              <w:left w:val="nil"/>
              <w:bottom w:val="single" w:color="auto" w:sz="4" w:space="0"/>
              <w:right w:val="single" w:color="auto" w:sz="4" w:space="0"/>
            </w:tcBorders>
            <w:noWrap w:val="0"/>
            <w:vAlign w:val="center"/>
          </w:tcPr>
          <w:p w14:paraId="32F03ACE">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91.42</w:t>
            </w:r>
          </w:p>
        </w:tc>
        <w:tc>
          <w:tcPr>
            <w:tcW w:w="1064" w:type="dxa"/>
            <w:tcBorders>
              <w:top w:val="nil"/>
              <w:left w:val="nil"/>
              <w:bottom w:val="single" w:color="auto" w:sz="4" w:space="0"/>
              <w:right w:val="single" w:color="auto" w:sz="4" w:space="0"/>
            </w:tcBorders>
            <w:noWrap w:val="0"/>
            <w:vAlign w:val="center"/>
          </w:tcPr>
          <w:p w14:paraId="63B1302B">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9.81%</w:t>
            </w:r>
          </w:p>
        </w:tc>
      </w:tr>
      <w:tr w14:paraId="30B9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22569C18">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5</w:t>
            </w:r>
          </w:p>
        </w:tc>
        <w:tc>
          <w:tcPr>
            <w:tcW w:w="1483" w:type="dxa"/>
            <w:noWrap w:val="0"/>
            <w:vAlign w:val="center"/>
          </w:tcPr>
          <w:p w14:paraId="1FC39084">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吴江区</w:t>
            </w:r>
          </w:p>
        </w:tc>
        <w:tc>
          <w:tcPr>
            <w:tcW w:w="1035" w:type="dxa"/>
            <w:tcBorders>
              <w:top w:val="nil"/>
              <w:left w:val="single" w:color="auto" w:sz="4" w:space="0"/>
              <w:bottom w:val="single" w:color="auto" w:sz="4" w:space="0"/>
              <w:right w:val="single" w:color="auto" w:sz="4" w:space="0"/>
            </w:tcBorders>
            <w:noWrap w:val="0"/>
            <w:vAlign w:val="center"/>
          </w:tcPr>
          <w:p w14:paraId="6EE08B30">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1237.44</w:t>
            </w:r>
          </w:p>
        </w:tc>
        <w:tc>
          <w:tcPr>
            <w:tcW w:w="1109" w:type="dxa"/>
            <w:tcBorders>
              <w:top w:val="nil"/>
              <w:left w:val="nil"/>
              <w:bottom w:val="single" w:color="auto" w:sz="4" w:space="0"/>
              <w:right w:val="single" w:color="auto" w:sz="4" w:space="0"/>
            </w:tcBorders>
            <w:noWrap w:val="0"/>
            <w:vAlign w:val="center"/>
          </w:tcPr>
          <w:p w14:paraId="2EE316C6">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85.38</w:t>
            </w:r>
          </w:p>
        </w:tc>
        <w:tc>
          <w:tcPr>
            <w:tcW w:w="1055" w:type="dxa"/>
            <w:tcBorders>
              <w:top w:val="nil"/>
              <w:left w:val="nil"/>
              <w:bottom w:val="single" w:color="auto" w:sz="4" w:space="0"/>
              <w:right w:val="single" w:color="auto" w:sz="4" w:space="0"/>
            </w:tcBorders>
            <w:noWrap w:val="0"/>
            <w:vAlign w:val="center"/>
          </w:tcPr>
          <w:p w14:paraId="3C5C84A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6.90%</w:t>
            </w:r>
          </w:p>
        </w:tc>
        <w:tc>
          <w:tcPr>
            <w:tcW w:w="1072" w:type="dxa"/>
            <w:tcBorders>
              <w:top w:val="nil"/>
              <w:left w:val="nil"/>
              <w:bottom w:val="single" w:color="auto" w:sz="4" w:space="0"/>
              <w:right w:val="single" w:color="auto" w:sz="4" w:space="0"/>
            </w:tcBorders>
            <w:noWrap w:val="0"/>
            <w:vAlign w:val="center"/>
          </w:tcPr>
          <w:p w14:paraId="3B15574C">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1009.91</w:t>
            </w:r>
          </w:p>
        </w:tc>
        <w:tc>
          <w:tcPr>
            <w:tcW w:w="1064" w:type="dxa"/>
            <w:tcBorders>
              <w:top w:val="nil"/>
              <w:left w:val="nil"/>
              <w:bottom w:val="single" w:color="auto" w:sz="4" w:space="0"/>
              <w:right w:val="single" w:color="auto" w:sz="4" w:space="0"/>
            </w:tcBorders>
            <w:noWrap w:val="0"/>
            <w:vAlign w:val="center"/>
          </w:tcPr>
          <w:p w14:paraId="23EF7E94">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81.61%</w:t>
            </w:r>
          </w:p>
        </w:tc>
        <w:tc>
          <w:tcPr>
            <w:tcW w:w="1145" w:type="dxa"/>
            <w:tcBorders>
              <w:top w:val="nil"/>
              <w:left w:val="nil"/>
              <w:bottom w:val="single" w:color="auto" w:sz="4" w:space="0"/>
              <w:right w:val="single" w:color="auto" w:sz="4" w:space="0"/>
            </w:tcBorders>
            <w:noWrap w:val="0"/>
            <w:vAlign w:val="center"/>
          </w:tcPr>
          <w:p w14:paraId="248F3B4C">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142.15</w:t>
            </w:r>
          </w:p>
        </w:tc>
        <w:tc>
          <w:tcPr>
            <w:tcW w:w="1064" w:type="dxa"/>
            <w:tcBorders>
              <w:top w:val="nil"/>
              <w:left w:val="nil"/>
              <w:bottom w:val="single" w:color="auto" w:sz="4" w:space="0"/>
              <w:right w:val="single" w:color="auto" w:sz="4" w:space="0"/>
            </w:tcBorders>
            <w:noWrap w:val="0"/>
            <w:vAlign w:val="center"/>
          </w:tcPr>
          <w:p w14:paraId="144CC11F">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11.49%</w:t>
            </w:r>
          </w:p>
        </w:tc>
      </w:tr>
      <w:tr w14:paraId="65340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07E0341E">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6</w:t>
            </w:r>
          </w:p>
        </w:tc>
        <w:tc>
          <w:tcPr>
            <w:tcW w:w="1483" w:type="dxa"/>
            <w:noWrap w:val="0"/>
            <w:vAlign w:val="center"/>
          </w:tcPr>
          <w:p w14:paraId="311DBFD0">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吴中区</w:t>
            </w:r>
          </w:p>
        </w:tc>
        <w:tc>
          <w:tcPr>
            <w:tcW w:w="1035" w:type="dxa"/>
            <w:tcBorders>
              <w:top w:val="nil"/>
              <w:left w:val="single" w:color="auto" w:sz="4" w:space="0"/>
              <w:bottom w:val="single" w:color="auto" w:sz="4" w:space="0"/>
              <w:right w:val="single" w:color="auto" w:sz="4" w:space="0"/>
            </w:tcBorders>
            <w:noWrap w:val="0"/>
            <w:vAlign w:val="center"/>
          </w:tcPr>
          <w:p w14:paraId="0A953422">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2231.69</w:t>
            </w:r>
          </w:p>
        </w:tc>
        <w:tc>
          <w:tcPr>
            <w:tcW w:w="1109" w:type="dxa"/>
            <w:tcBorders>
              <w:top w:val="nil"/>
              <w:left w:val="nil"/>
              <w:bottom w:val="single" w:color="auto" w:sz="4" w:space="0"/>
              <w:right w:val="single" w:color="auto" w:sz="4" w:space="0"/>
            </w:tcBorders>
            <w:noWrap w:val="0"/>
            <w:vAlign w:val="center"/>
          </w:tcPr>
          <w:p w14:paraId="1003D9FD">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240.52</w:t>
            </w:r>
          </w:p>
        </w:tc>
        <w:tc>
          <w:tcPr>
            <w:tcW w:w="1055" w:type="dxa"/>
            <w:tcBorders>
              <w:top w:val="nil"/>
              <w:left w:val="nil"/>
              <w:bottom w:val="single" w:color="auto" w:sz="4" w:space="0"/>
              <w:right w:val="single" w:color="auto" w:sz="4" w:space="0"/>
            </w:tcBorders>
            <w:noWrap w:val="0"/>
            <w:vAlign w:val="center"/>
          </w:tcPr>
          <w:p w14:paraId="569330EC">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10.78%</w:t>
            </w:r>
          </w:p>
        </w:tc>
        <w:tc>
          <w:tcPr>
            <w:tcW w:w="1072" w:type="dxa"/>
            <w:tcBorders>
              <w:top w:val="nil"/>
              <w:left w:val="nil"/>
              <w:bottom w:val="single" w:color="auto" w:sz="4" w:space="0"/>
              <w:right w:val="single" w:color="auto" w:sz="4" w:space="0"/>
            </w:tcBorders>
            <w:noWrap w:val="0"/>
            <w:vAlign w:val="center"/>
          </w:tcPr>
          <w:p w14:paraId="438B5D24">
            <w:pPr>
              <w:jc w:val="center"/>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409.19</w:t>
            </w:r>
          </w:p>
        </w:tc>
        <w:tc>
          <w:tcPr>
            <w:tcW w:w="1064" w:type="dxa"/>
            <w:tcBorders>
              <w:top w:val="nil"/>
              <w:left w:val="nil"/>
              <w:bottom w:val="single" w:color="auto" w:sz="4" w:space="0"/>
              <w:right w:val="single" w:color="auto" w:sz="4" w:space="0"/>
            </w:tcBorders>
            <w:noWrap w:val="0"/>
            <w:vAlign w:val="center"/>
          </w:tcPr>
          <w:p w14:paraId="297FE59F">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18.34%</w:t>
            </w:r>
          </w:p>
        </w:tc>
        <w:tc>
          <w:tcPr>
            <w:tcW w:w="1145" w:type="dxa"/>
            <w:tcBorders>
              <w:top w:val="nil"/>
              <w:left w:val="nil"/>
              <w:bottom w:val="single" w:color="auto" w:sz="4" w:space="0"/>
              <w:right w:val="single" w:color="auto" w:sz="4" w:space="0"/>
            </w:tcBorders>
            <w:noWrap w:val="0"/>
            <w:vAlign w:val="center"/>
          </w:tcPr>
          <w:p w14:paraId="5DEF4AB4">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1581.98</w:t>
            </w:r>
          </w:p>
        </w:tc>
        <w:tc>
          <w:tcPr>
            <w:tcW w:w="1064" w:type="dxa"/>
            <w:tcBorders>
              <w:top w:val="nil"/>
              <w:left w:val="nil"/>
              <w:bottom w:val="single" w:color="auto" w:sz="4" w:space="0"/>
              <w:right w:val="single" w:color="auto" w:sz="4" w:space="0"/>
            </w:tcBorders>
            <w:noWrap w:val="0"/>
            <w:vAlign w:val="center"/>
          </w:tcPr>
          <w:p w14:paraId="7BA99E30">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70.89%</w:t>
            </w:r>
          </w:p>
        </w:tc>
      </w:tr>
      <w:tr w14:paraId="5622D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308C168B">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7</w:t>
            </w:r>
          </w:p>
        </w:tc>
        <w:tc>
          <w:tcPr>
            <w:tcW w:w="1483" w:type="dxa"/>
            <w:noWrap w:val="0"/>
            <w:vAlign w:val="center"/>
          </w:tcPr>
          <w:p w14:paraId="5BE37F35">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相城区</w:t>
            </w:r>
          </w:p>
        </w:tc>
        <w:tc>
          <w:tcPr>
            <w:tcW w:w="1035" w:type="dxa"/>
            <w:tcBorders>
              <w:top w:val="nil"/>
              <w:left w:val="single" w:color="auto" w:sz="4" w:space="0"/>
              <w:bottom w:val="single" w:color="auto" w:sz="4" w:space="0"/>
              <w:right w:val="single" w:color="auto" w:sz="4" w:space="0"/>
            </w:tcBorders>
            <w:noWrap w:val="0"/>
            <w:vAlign w:val="center"/>
          </w:tcPr>
          <w:p w14:paraId="209E0927">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489.96</w:t>
            </w:r>
          </w:p>
        </w:tc>
        <w:tc>
          <w:tcPr>
            <w:tcW w:w="1109" w:type="dxa"/>
            <w:tcBorders>
              <w:top w:val="nil"/>
              <w:left w:val="nil"/>
              <w:bottom w:val="single" w:color="auto" w:sz="4" w:space="0"/>
              <w:right w:val="single" w:color="auto" w:sz="4" w:space="0"/>
            </w:tcBorders>
            <w:noWrap w:val="0"/>
            <w:vAlign w:val="center"/>
          </w:tcPr>
          <w:p w14:paraId="4F899756">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13.24</w:t>
            </w:r>
          </w:p>
        </w:tc>
        <w:tc>
          <w:tcPr>
            <w:tcW w:w="1055" w:type="dxa"/>
            <w:tcBorders>
              <w:top w:val="nil"/>
              <w:left w:val="nil"/>
              <w:bottom w:val="single" w:color="auto" w:sz="4" w:space="0"/>
              <w:right w:val="single" w:color="auto" w:sz="4" w:space="0"/>
            </w:tcBorders>
            <w:noWrap w:val="0"/>
            <w:vAlign w:val="center"/>
          </w:tcPr>
          <w:p w14:paraId="6FBFA8A3">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2.70%</w:t>
            </w:r>
          </w:p>
        </w:tc>
        <w:tc>
          <w:tcPr>
            <w:tcW w:w="1072" w:type="dxa"/>
            <w:tcBorders>
              <w:top w:val="nil"/>
              <w:left w:val="nil"/>
              <w:bottom w:val="single" w:color="auto" w:sz="4" w:space="0"/>
              <w:right w:val="single" w:color="auto" w:sz="4" w:space="0"/>
            </w:tcBorders>
            <w:noWrap w:val="0"/>
            <w:vAlign w:val="center"/>
          </w:tcPr>
          <w:p w14:paraId="3F3C9EB5">
            <w:pPr>
              <w:jc w:val="center"/>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373.40</w:t>
            </w:r>
          </w:p>
        </w:tc>
        <w:tc>
          <w:tcPr>
            <w:tcW w:w="1064" w:type="dxa"/>
            <w:tcBorders>
              <w:top w:val="nil"/>
              <w:left w:val="nil"/>
              <w:bottom w:val="single" w:color="auto" w:sz="4" w:space="0"/>
              <w:right w:val="single" w:color="auto" w:sz="4" w:space="0"/>
            </w:tcBorders>
            <w:noWrap w:val="0"/>
            <w:vAlign w:val="center"/>
          </w:tcPr>
          <w:p w14:paraId="2C6D11CD">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76.21%</w:t>
            </w:r>
          </w:p>
        </w:tc>
        <w:tc>
          <w:tcPr>
            <w:tcW w:w="1145" w:type="dxa"/>
            <w:tcBorders>
              <w:top w:val="nil"/>
              <w:left w:val="nil"/>
              <w:bottom w:val="single" w:color="auto" w:sz="4" w:space="0"/>
              <w:right w:val="single" w:color="auto" w:sz="4" w:space="0"/>
            </w:tcBorders>
            <w:noWrap w:val="0"/>
            <w:vAlign w:val="center"/>
          </w:tcPr>
          <w:p w14:paraId="6CA195FB">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103.32</w:t>
            </w:r>
          </w:p>
        </w:tc>
        <w:tc>
          <w:tcPr>
            <w:tcW w:w="1064" w:type="dxa"/>
            <w:tcBorders>
              <w:top w:val="nil"/>
              <w:left w:val="nil"/>
              <w:bottom w:val="single" w:color="auto" w:sz="4" w:space="0"/>
              <w:right w:val="single" w:color="auto" w:sz="4" w:space="0"/>
            </w:tcBorders>
            <w:noWrap w:val="0"/>
            <w:vAlign w:val="center"/>
          </w:tcPr>
          <w:p w14:paraId="56E4FE8B">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21.09%</w:t>
            </w:r>
          </w:p>
        </w:tc>
      </w:tr>
      <w:tr w14:paraId="5E81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539E5926">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8</w:t>
            </w:r>
          </w:p>
        </w:tc>
        <w:tc>
          <w:tcPr>
            <w:tcW w:w="1483" w:type="dxa"/>
            <w:noWrap w:val="0"/>
            <w:vAlign w:val="center"/>
          </w:tcPr>
          <w:p w14:paraId="0F44B90A">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姑苏区</w:t>
            </w:r>
          </w:p>
        </w:tc>
        <w:tc>
          <w:tcPr>
            <w:tcW w:w="1035" w:type="dxa"/>
            <w:tcBorders>
              <w:top w:val="nil"/>
              <w:left w:val="single" w:color="auto" w:sz="4" w:space="0"/>
              <w:bottom w:val="single" w:color="auto" w:sz="4" w:space="0"/>
              <w:right w:val="single" w:color="auto" w:sz="4" w:space="0"/>
            </w:tcBorders>
            <w:noWrap w:val="0"/>
            <w:vAlign w:val="center"/>
          </w:tcPr>
          <w:p w14:paraId="3645FBAB">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83.42</w:t>
            </w:r>
          </w:p>
        </w:tc>
        <w:tc>
          <w:tcPr>
            <w:tcW w:w="1109" w:type="dxa"/>
            <w:tcBorders>
              <w:top w:val="nil"/>
              <w:left w:val="nil"/>
              <w:bottom w:val="single" w:color="auto" w:sz="4" w:space="0"/>
              <w:right w:val="single" w:color="auto" w:sz="4" w:space="0"/>
            </w:tcBorders>
            <w:noWrap w:val="0"/>
            <w:vAlign w:val="center"/>
          </w:tcPr>
          <w:p w14:paraId="163FEFD9">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22.28</w:t>
            </w:r>
          </w:p>
        </w:tc>
        <w:tc>
          <w:tcPr>
            <w:tcW w:w="1055" w:type="dxa"/>
            <w:tcBorders>
              <w:top w:val="nil"/>
              <w:left w:val="nil"/>
              <w:bottom w:val="single" w:color="auto" w:sz="4" w:space="0"/>
              <w:right w:val="single" w:color="auto" w:sz="4" w:space="0"/>
            </w:tcBorders>
            <w:noWrap w:val="0"/>
            <w:vAlign w:val="center"/>
          </w:tcPr>
          <w:p w14:paraId="3047E9F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26.71%</w:t>
            </w:r>
          </w:p>
        </w:tc>
        <w:tc>
          <w:tcPr>
            <w:tcW w:w="1072" w:type="dxa"/>
            <w:tcBorders>
              <w:top w:val="nil"/>
              <w:left w:val="nil"/>
              <w:bottom w:val="single" w:color="auto" w:sz="4" w:space="0"/>
              <w:right w:val="single" w:color="auto" w:sz="4" w:space="0"/>
            </w:tcBorders>
            <w:noWrap w:val="0"/>
            <w:vAlign w:val="center"/>
          </w:tcPr>
          <w:p w14:paraId="26E12DCD">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60.47</w:t>
            </w:r>
          </w:p>
        </w:tc>
        <w:tc>
          <w:tcPr>
            <w:tcW w:w="1064" w:type="dxa"/>
            <w:tcBorders>
              <w:top w:val="nil"/>
              <w:left w:val="nil"/>
              <w:bottom w:val="single" w:color="auto" w:sz="4" w:space="0"/>
              <w:right w:val="single" w:color="auto" w:sz="4" w:space="0"/>
            </w:tcBorders>
            <w:noWrap w:val="0"/>
            <w:vAlign w:val="center"/>
          </w:tcPr>
          <w:p w14:paraId="23BD9EC9">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72.49%</w:t>
            </w:r>
          </w:p>
        </w:tc>
        <w:tc>
          <w:tcPr>
            <w:tcW w:w="1145" w:type="dxa"/>
            <w:tcBorders>
              <w:top w:val="nil"/>
              <w:left w:val="nil"/>
              <w:bottom w:val="single" w:color="auto" w:sz="4" w:space="0"/>
              <w:right w:val="single" w:color="auto" w:sz="4" w:space="0"/>
            </w:tcBorders>
            <w:noWrap w:val="0"/>
            <w:vAlign w:val="center"/>
          </w:tcPr>
          <w:p w14:paraId="1C26DB0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0.67</w:t>
            </w:r>
          </w:p>
        </w:tc>
        <w:tc>
          <w:tcPr>
            <w:tcW w:w="1064" w:type="dxa"/>
            <w:tcBorders>
              <w:top w:val="nil"/>
              <w:left w:val="nil"/>
              <w:bottom w:val="single" w:color="auto" w:sz="4" w:space="0"/>
              <w:right w:val="single" w:color="auto" w:sz="4" w:space="0"/>
            </w:tcBorders>
            <w:noWrap w:val="0"/>
            <w:vAlign w:val="center"/>
          </w:tcPr>
          <w:p w14:paraId="1FF89B34">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0.80%</w:t>
            </w:r>
          </w:p>
        </w:tc>
      </w:tr>
      <w:tr w14:paraId="765AD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00E0ADF3">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9</w:t>
            </w:r>
          </w:p>
        </w:tc>
        <w:tc>
          <w:tcPr>
            <w:tcW w:w="1483" w:type="dxa"/>
            <w:noWrap w:val="0"/>
            <w:vAlign w:val="center"/>
          </w:tcPr>
          <w:p w14:paraId="0C3FA682">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苏州工业园区</w:t>
            </w:r>
          </w:p>
        </w:tc>
        <w:tc>
          <w:tcPr>
            <w:tcW w:w="1035" w:type="dxa"/>
            <w:tcBorders>
              <w:top w:val="nil"/>
              <w:left w:val="single" w:color="auto" w:sz="4" w:space="0"/>
              <w:bottom w:val="single" w:color="auto" w:sz="4" w:space="0"/>
              <w:right w:val="single" w:color="auto" w:sz="4" w:space="0"/>
            </w:tcBorders>
            <w:noWrap w:val="0"/>
            <w:vAlign w:val="center"/>
          </w:tcPr>
          <w:p w14:paraId="1F3F1E03">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277.96</w:t>
            </w:r>
          </w:p>
        </w:tc>
        <w:tc>
          <w:tcPr>
            <w:tcW w:w="1109" w:type="dxa"/>
            <w:tcBorders>
              <w:top w:val="nil"/>
              <w:left w:val="nil"/>
              <w:bottom w:val="single" w:color="auto" w:sz="4" w:space="0"/>
              <w:right w:val="single" w:color="auto" w:sz="4" w:space="0"/>
            </w:tcBorders>
            <w:noWrap w:val="0"/>
            <w:vAlign w:val="center"/>
          </w:tcPr>
          <w:p w14:paraId="396505ED">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23.13</w:t>
            </w:r>
          </w:p>
        </w:tc>
        <w:tc>
          <w:tcPr>
            <w:tcW w:w="1055" w:type="dxa"/>
            <w:tcBorders>
              <w:top w:val="nil"/>
              <w:left w:val="nil"/>
              <w:bottom w:val="single" w:color="auto" w:sz="4" w:space="0"/>
              <w:right w:val="single" w:color="auto" w:sz="4" w:space="0"/>
            </w:tcBorders>
            <w:noWrap w:val="0"/>
            <w:vAlign w:val="center"/>
          </w:tcPr>
          <w:p w14:paraId="5EA231B0">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8.32%</w:t>
            </w:r>
          </w:p>
        </w:tc>
        <w:tc>
          <w:tcPr>
            <w:tcW w:w="1072" w:type="dxa"/>
            <w:tcBorders>
              <w:top w:val="nil"/>
              <w:left w:val="nil"/>
              <w:bottom w:val="single" w:color="auto" w:sz="4" w:space="0"/>
              <w:right w:val="single" w:color="auto" w:sz="4" w:space="0"/>
            </w:tcBorders>
            <w:noWrap w:val="0"/>
            <w:vAlign w:val="center"/>
          </w:tcPr>
          <w:p w14:paraId="74122306">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187.88</w:t>
            </w:r>
          </w:p>
        </w:tc>
        <w:tc>
          <w:tcPr>
            <w:tcW w:w="1064" w:type="dxa"/>
            <w:tcBorders>
              <w:top w:val="nil"/>
              <w:left w:val="nil"/>
              <w:bottom w:val="single" w:color="auto" w:sz="4" w:space="0"/>
              <w:right w:val="single" w:color="auto" w:sz="4" w:space="0"/>
            </w:tcBorders>
            <w:noWrap w:val="0"/>
            <w:vAlign w:val="center"/>
          </w:tcPr>
          <w:p w14:paraId="09916951">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67.59%</w:t>
            </w:r>
          </w:p>
        </w:tc>
        <w:tc>
          <w:tcPr>
            <w:tcW w:w="1145" w:type="dxa"/>
            <w:tcBorders>
              <w:top w:val="nil"/>
              <w:left w:val="nil"/>
              <w:bottom w:val="single" w:color="auto" w:sz="4" w:space="0"/>
              <w:right w:val="single" w:color="auto" w:sz="4" w:space="0"/>
            </w:tcBorders>
            <w:noWrap w:val="0"/>
            <w:vAlign w:val="center"/>
          </w:tcPr>
          <w:p w14:paraId="09A28938">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66.95</w:t>
            </w:r>
          </w:p>
        </w:tc>
        <w:tc>
          <w:tcPr>
            <w:tcW w:w="1064" w:type="dxa"/>
            <w:tcBorders>
              <w:top w:val="nil"/>
              <w:left w:val="nil"/>
              <w:bottom w:val="single" w:color="auto" w:sz="4" w:space="0"/>
              <w:right w:val="single" w:color="auto" w:sz="4" w:space="0"/>
            </w:tcBorders>
            <w:noWrap w:val="0"/>
            <w:vAlign w:val="center"/>
          </w:tcPr>
          <w:p w14:paraId="7B76F429">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24.09%</w:t>
            </w:r>
          </w:p>
        </w:tc>
      </w:tr>
      <w:tr w14:paraId="43CBB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307697F2">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spacing w:val="-6"/>
                <w:sz w:val="21"/>
                <w:szCs w:val="21"/>
                <w:lang w:eastAsia="zh-CN"/>
              </w:rPr>
            </w:pPr>
            <w:r>
              <w:rPr>
                <w:rFonts w:hint="eastAsia" w:ascii="仿宋" w:hAnsi="仿宋" w:eastAsia="仿宋" w:cs="仿宋"/>
                <w:spacing w:val="-6"/>
                <w:sz w:val="21"/>
                <w:szCs w:val="21"/>
                <w:lang w:eastAsia="zh-CN"/>
              </w:rPr>
              <w:t>10</w:t>
            </w:r>
          </w:p>
        </w:tc>
        <w:tc>
          <w:tcPr>
            <w:tcW w:w="1483" w:type="dxa"/>
            <w:noWrap w:val="0"/>
            <w:vAlign w:val="center"/>
          </w:tcPr>
          <w:p w14:paraId="69B2D270">
            <w:pPr>
              <w:jc w:val="center"/>
              <w:rPr>
                <w:rFonts w:hint="eastAsia" w:ascii="仿宋" w:hAnsi="仿宋" w:eastAsia="仿宋" w:cs="仿宋"/>
                <w:color w:val="000000"/>
                <w:sz w:val="21"/>
                <w:szCs w:val="21"/>
                <w:lang w:eastAsia="zh-CN"/>
              </w:rPr>
            </w:pPr>
            <w:r>
              <w:rPr>
                <w:rFonts w:hint="eastAsia" w:ascii="仿宋" w:hAnsi="仿宋" w:eastAsia="仿宋" w:cs="仿宋"/>
                <w:color w:val="000000"/>
                <w:sz w:val="21"/>
                <w:szCs w:val="21"/>
                <w:lang w:eastAsia="zh-CN"/>
              </w:rPr>
              <w:t>虎丘区</w:t>
            </w:r>
          </w:p>
        </w:tc>
        <w:tc>
          <w:tcPr>
            <w:tcW w:w="1035" w:type="dxa"/>
            <w:tcBorders>
              <w:top w:val="nil"/>
              <w:left w:val="single" w:color="auto" w:sz="4" w:space="0"/>
              <w:bottom w:val="single" w:color="auto" w:sz="4" w:space="0"/>
              <w:right w:val="single" w:color="auto" w:sz="4" w:space="0"/>
            </w:tcBorders>
            <w:noWrap w:val="0"/>
            <w:vAlign w:val="center"/>
          </w:tcPr>
          <w:p w14:paraId="73C15CAE">
            <w:pPr>
              <w:jc w:val="center"/>
              <w:rPr>
                <w:rFonts w:hint="eastAsia" w:ascii="仿宋" w:hAnsi="仿宋" w:eastAsia="仿宋" w:cs="仿宋"/>
                <w:color w:val="000000"/>
                <w:sz w:val="21"/>
                <w:szCs w:val="21"/>
              </w:rPr>
            </w:pPr>
            <w:r>
              <w:rPr>
                <w:rFonts w:hint="eastAsia" w:ascii="仿宋" w:hAnsi="仿宋" w:eastAsia="仿宋" w:cs="仿宋"/>
                <w:color w:val="000000"/>
                <w:sz w:val="21"/>
                <w:szCs w:val="21"/>
              </w:rPr>
              <w:t>332.37</w:t>
            </w:r>
          </w:p>
        </w:tc>
        <w:tc>
          <w:tcPr>
            <w:tcW w:w="1109" w:type="dxa"/>
            <w:tcBorders>
              <w:top w:val="nil"/>
              <w:left w:val="nil"/>
              <w:bottom w:val="single" w:color="auto" w:sz="4" w:space="0"/>
              <w:right w:val="single" w:color="auto" w:sz="4" w:space="0"/>
            </w:tcBorders>
            <w:noWrap w:val="0"/>
            <w:vAlign w:val="center"/>
          </w:tcPr>
          <w:p w14:paraId="27D6ACA0">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60.30</w:t>
            </w:r>
          </w:p>
        </w:tc>
        <w:tc>
          <w:tcPr>
            <w:tcW w:w="1055" w:type="dxa"/>
            <w:tcBorders>
              <w:top w:val="nil"/>
              <w:left w:val="nil"/>
              <w:bottom w:val="single" w:color="auto" w:sz="4" w:space="0"/>
              <w:right w:val="single" w:color="auto" w:sz="4" w:space="0"/>
            </w:tcBorders>
            <w:noWrap w:val="0"/>
            <w:vAlign w:val="center"/>
          </w:tcPr>
          <w:p w14:paraId="65A74775">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18.14%</w:t>
            </w:r>
          </w:p>
        </w:tc>
        <w:tc>
          <w:tcPr>
            <w:tcW w:w="1072" w:type="dxa"/>
            <w:tcBorders>
              <w:top w:val="nil"/>
              <w:left w:val="nil"/>
              <w:bottom w:val="single" w:color="auto" w:sz="4" w:space="0"/>
              <w:right w:val="single" w:color="auto" w:sz="4" w:space="0"/>
            </w:tcBorders>
            <w:noWrap w:val="0"/>
            <w:vAlign w:val="center"/>
          </w:tcPr>
          <w:p w14:paraId="3BF1AFF5">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150.86</w:t>
            </w:r>
          </w:p>
        </w:tc>
        <w:tc>
          <w:tcPr>
            <w:tcW w:w="1064" w:type="dxa"/>
            <w:tcBorders>
              <w:top w:val="nil"/>
              <w:left w:val="nil"/>
              <w:bottom w:val="single" w:color="auto" w:sz="4" w:space="0"/>
              <w:right w:val="single" w:color="auto" w:sz="4" w:space="0"/>
            </w:tcBorders>
            <w:noWrap w:val="0"/>
            <w:vAlign w:val="center"/>
          </w:tcPr>
          <w:p w14:paraId="67093EFC">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45.39%</w:t>
            </w:r>
          </w:p>
        </w:tc>
        <w:tc>
          <w:tcPr>
            <w:tcW w:w="1145" w:type="dxa"/>
            <w:tcBorders>
              <w:top w:val="nil"/>
              <w:left w:val="nil"/>
              <w:bottom w:val="single" w:color="auto" w:sz="4" w:space="0"/>
              <w:right w:val="single" w:color="auto" w:sz="4" w:space="0"/>
            </w:tcBorders>
            <w:noWrap w:val="0"/>
            <w:vAlign w:val="center"/>
          </w:tcPr>
          <w:p w14:paraId="1D169A92">
            <w:pPr>
              <w:jc w:val="center"/>
              <w:rPr>
                <w:rFonts w:hint="default"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121.21</w:t>
            </w:r>
          </w:p>
        </w:tc>
        <w:tc>
          <w:tcPr>
            <w:tcW w:w="1064" w:type="dxa"/>
            <w:tcBorders>
              <w:top w:val="nil"/>
              <w:left w:val="nil"/>
              <w:bottom w:val="single" w:color="auto" w:sz="4" w:space="0"/>
              <w:right w:val="single" w:color="auto" w:sz="4" w:space="0"/>
            </w:tcBorders>
            <w:noWrap w:val="0"/>
            <w:vAlign w:val="center"/>
          </w:tcPr>
          <w:p w14:paraId="789DCF45">
            <w:pPr>
              <w:jc w:val="center"/>
              <w:rPr>
                <w:rFonts w:hint="eastAsia" w:ascii="仿宋" w:hAnsi="仿宋" w:eastAsia="仿宋" w:cs="仿宋"/>
                <w:color w:val="000000"/>
                <w:sz w:val="21"/>
                <w:szCs w:val="21"/>
              </w:rPr>
            </w:pPr>
            <w:r>
              <w:rPr>
                <w:rFonts w:hint="eastAsia" w:ascii="仿宋" w:hAnsi="仿宋" w:eastAsia="仿宋" w:cs="仿宋"/>
                <w:color w:val="000000"/>
                <w:sz w:val="21"/>
                <w:szCs w:val="21"/>
                <w:lang w:val="en-US" w:eastAsia="zh-CN"/>
              </w:rPr>
              <w:t>36.47%</w:t>
            </w:r>
          </w:p>
        </w:tc>
      </w:tr>
      <w:tr w14:paraId="09603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11" w:type="dxa"/>
            <w:noWrap w:val="0"/>
            <w:vAlign w:val="center"/>
          </w:tcPr>
          <w:p w14:paraId="6C8E786F">
            <w:pPr>
              <w:pStyle w:val="2"/>
              <w:keepNext w:val="0"/>
              <w:keepLines w:val="0"/>
              <w:pageBreakBefore w:val="0"/>
              <w:kinsoku/>
              <w:wordWrap/>
              <w:overflowPunct/>
              <w:topLinePunct w:val="0"/>
              <w:autoSpaceDE/>
              <w:autoSpaceDN/>
              <w:bidi w:val="0"/>
              <w:adjustRightInd w:val="0"/>
              <w:snapToGrid w:val="0"/>
              <w:spacing w:line="580" w:lineRule="exact"/>
              <w:ind w:right="0" w:rightChars="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11</w:t>
            </w:r>
          </w:p>
        </w:tc>
        <w:tc>
          <w:tcPr>
            <w:tcW w:w="1483" w:type="dxa"/>
            <w:noWrap w:val="0"/>
            <w:vAlign w:val="center"/>
          </w:tcPr>
          <w:p w14:paraId="2EAACD8B">
            <w:pPr>
              <w:pStyle w:val="2"/>
              <w:adjustRightInd w:val="0"/>
              <w:snapToGrid w:val="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苏州市</w:t>
            </w:r>
          </w:p>
        </w:tc>
        <w:tc>
          <w:tcPr>
            <w:tcW w:w="1035" w:type="dxa"/>
            <w:noWrap w:val="0"/>
            <w:vAlign w:val="center"/>
          </w:tcPr>
          <w:p w14:paraId="156B3F59">
            <w:pPr>
              <w:pStyle w:val="2"/>
              <w:adjustRightInd w:val="0"/>
              <w:snapToGrid w:val="0"/>
              <w:jc w:val="center"/>
              <w:rPr>
                <w:rFonts w:hint="eastAsia" w:ascii="仿宋" w:hAnsi="仿宋" w:eastAsia="仿宋" w:cs="仿宋"/>
                <w:b/>
                <w:bCs/>
                <w:spacing w:val="-6"/>
                <w:sz w:val="21"/>
                <w:szCs w:val="21"/>
                <w:lang w:eastAsia="zh-CN"/>
              </w:rPr>
            </w:pPr>
            <w:r>
              <w:rPr>
                <w:rFonts w:hint="eastAsia" w:ascii="仿宋" w:hAnsi="仿宋" w:eastAsia="仿宋" w:cs="仿宋"/>
                <w:b/>
                <w:bCs/>
                <w:spacing w:val="-6"/>
                <w:sz w:val="21"/>
                <w:szCs w:val="21"/>
                <w:lang w:eastAsia="zh-CN"/>
              </w:rPr>
              <w:t>8657.32</w:t>
            </w:r>
          </w:p>
        </w:tc>
        <w:tc>
          <w:tcPr>
            <w:tcW w:w="1109" w:type="dxa"/>
            <w:noWrap w:val="0"/>
            <w:vAlign w:val="center"/>
          </w:tcPr>
          <w:p w14:paraId="1281B2D5">
            <w:pPr>
              <w:pStyle w:val="2"/>
              <w:adjustRightInd w:val="0"/>
              <w:snapToGrid w:val="0"/>
              <w:jc w:val="center"/>
              <w:rPr>
                <w:rFonts w:hint="default" w:ascii="仿宋" w:hAnsi="仿宋" w:eastAsia="仿宋" w:cs="仿宋"/>
                <w:b/>
                <w:bCs/>
                <w:spacing w:val="-6"/>
                <w:sz w:val="21"/>
                <w:szCs w:val="21"/>
                <w:lang w:val="en-US" w:eastAsia="zh-CN"/>
              </w:rPr>
            </w:pPr>
            <w:r>
              <w:rPr>
                <w:rFonts w:hint="eastAsia" w:cs="仿宋"/>
                <w:b/>
                <w:bCs/>
                <w:spacing w:val="-6"/>
                <w:sz w:val="21"/>
                <w:szCs w:val="21"/>
                <w:lang w:val="en-US" w:eastAsia="zh-CN"/>
              </w:rPr>
              <w:t>818.19</w:t>
            </w:r>
          </w:p>
        </w:tc>
        <w:tc>
          <w:tcPr>
            <w:tcW w:w="1055" w:type="dxa"/>
            <w:noWrap w:val="0"/>
            <w:vAlign w:val="center"/>
          </w:tcPr>
          <w:p w14:paraId="42A180DC">
            <w:pPr>
              <w:pStyle w:val="2"/>
              <w:adjustRightInd w:val="0"/>
              <w:snapToGrid w:val="0"/>
              <w:jc w:val="center"/>
              <w:rPr>
                <w:rFonts w:hint="eastAsia" w:ascii="仿宋" w:hAnsi="仿宋" w:eastAsia="仿宋" w:cs="仿宋"/>
                <w:b/>
                <w:bCs/>
                <w:spacing w:val="-6"/>
                <w:sz w:val="21"/>
                <w:szCs w:val="21"/>
                <w:lang w:val="en-US" w:eastAsia="zh-CN"/>
              </w:rPr>
            </w:pPr>
            <w:r>
              <w:rPr>
                <w:rFonts w:hint="eastAsia" w:cs="仿宋"/>
                <w:b/>
                <w:bCs/>
                <w:spacing w:val="-6"/>
                <w:sz w:val="21"/>
                <w:szCs w:val="21"/>
                <w:lang w:val="en-US" w:eastAsia="zh-CN"/>
              </w:rPr>
              <w:t>9.45</w:t>
            </w:r>
            <w:r>
              <w:rPr>
                <w:rFonts w:hint="eastAsia" w:ascii="仿宋" w:hAnsi="仿宋" w:eastAsia="仿宋" w:cs="仿宋"/>
                <w:b/>
                <w:bCs/>
                <w:spacing w:val="-6"/>
                <w:sz w:val="21"/>
                <w:szCs w:val="21"/>
                <w:lang w:eastAsia="zh-CN"/>
              </w:rPr>
              <w:t>%</w:t>
            </w:r>
          </w:p>
        </w:tc>
        <w:tc>
          <w:tcPr>
            <w:tcW w:w="1072" w:type="dxa"/>
            <w:noWrap w:val="0"/>
            <w:vAlign w:val="center"/>
          </w:tcPr>
          <w:p w14:paraId="0659B6BF">
            <w:pPr>
              <w:pStyle w:val="2"/>
              <w:adjustRightInd w:val="0"/>
              <w:snapToGrid w:val="0"/>
              <w:jc w:val="center"/>
              <w:rPr>
                <w:rFonts w:hint="default" w:ascii="仿宋" w:hAnsi="仿宋" w:eastAsia="仿宋" w:cs="仿宋"/>
                <w:b/>
                <w:bCs/>
                <w:spacing w:val="-6"/>
                <w:sz w:val="21"/>
                <w:szCs w:val="21"/>
                <w:lang w:val="en-US" w:eastAsia="zh-CN"/>
              </w:rPr>
            </w:pPr>
            <w:r>
              <w:rPr>
                <w:rFonts w:hint="eastAsia" w:cs="仿宋"/>
                <w:b/>
                <w:bCs/>
                <w:spacing w:val="-6"/>
                <w:sz w:val="21"/>
                <w:szCs w:val="21"/>
                <w:lang w:val="en-US" w:eastAsia="zh-CN"/>
              </w:rPr>
              <w:t>4734.00</w:t>
            </w:r>
          </w:p>
        </w:tc>
        <w:tc>
          <w:tcPr>
            <w:tcW w:w="1064" w:type="dxa"/>
            <w:noWrap w:val="0"/>
            <w:vAlign w:val="center"/>
          </w:tcPr>
          <w:p w14:paraId="3E04CC7C">
            <w:pPr>
              <w:pStyle w:val="2"/>
              <w:adjustRightInd w:val="0"/>
              <w:snapToGrid w:val="0"/>
              <w:jc w:val="center"/>
              <w:rPr>
                <w:rFonts w:hint="eastAsia" w:ascii="仿宋" w:hAnsi="仿宋" w:eastAsia="仿宋" w:cs="仿宋"/>
                <w:b/>
                <w:bCs/>
                <w:spacing w:val="-6"/>
                <w:sz w:val="21"/>
                <w:szCs w:val="21"/>
                <w:lang w:val="en-US" w:eastAsia="zh-CN"/>
              </w:rPr>
            </w:pPr>
            <w:r>
              <w:rPr>
                <w:rFonts w:hint="eastAsia" w:cs="仿宋"/>
                <w:b/>
                <w:bCs/>
                <w:spacing w:val="-6"/>
                <w:sz w:val="21"/>
                <w:szCs w:val="21"/>
                <w:lang w:val="en-US" w:eastAsia="zh-CN"/>
              </w:rPr>
              <w:t>54.68</w:t>
            </w:r>
            <w:r>
              <w:rPr>
                <w:rFonts w:hint="eastAsia" w:ascii="仿宋" w:hAnsi="仿宋" w:eastAsia="仿宋" w:cs="仿宋"/>
                <w:b/>
                <w:bCs/>
                <w:spacing w:val="-6"/>
                <w:sz w:val="21"/>
                <w:szCs w:val="21"/>
                <w:lang w:eastAsia="zh-CN"/>
              </w:rPr>
              <w:t>%</w:t>
            </w:r>
          </w:p>
        </w:tc>
        <w:tc>
          <w:tcPr>
            <w:tcW w:w="1145" w:type="dxa"/>
            <w:noWrap w:val="0"/>
            <w:vAlign w:val="center"/>
          </w:tcPr>
          <w:p w14:paraId="46DEFC54">
            <w:pPr>
              <w:pStyle w:val="2"/>
              <w:adjustRightInd w:val="0"/>
              <w:snapToGrid w:val="0"/>
              <w:jc w:val="center"/>
              <w:rPr>
                <w:rFonts w:hint="default" w:ascii="仿宋" w:hAnsi="仿宋" w:eastAsia="仿宋" w:cs="仿宋"/>
                <w:b/>
                <w:bCs/>
                <w:spacing w:val="-6"/>
                <w:sz w:val="21"/>
                <w:szCs w:val="21"/>
                <w:lang w:val="en-US" w:eastAsia="zh-CN"/>
              </w:rPr>
            </w:pPr>
            <w:r>
              <w:rPr>
                <w:rFonts w:hint="eastAsia" w:cs="仿宋"/>
                <w:b/>
                <w:bCs/>
                <w:spacing w:val="-6"/>
                <w:sz w:val="21"/>
                <w:szCs w:val="21"/>
                <w:lang w:val="en-US" w:eastAsia="zh-CN"/>
              </w:rPr>
              <w:t>3105.13</w:t>
            </w:r>
          </w:p>
        </w:tc>
        <w:tc>
          <w:tcPr>
            <w:tcW w:w="1064" w:type="dxa"/>
            <w:noWrap w:val="0"/>
            <w:vAlign w:val="center"/>
          </w:tcPr>
          <w:p w14:paraId="2325DDF4">
            <w:pPr>
              <w:pStyle w:val="2"/>
              <w:adjustRightInd w:val="0"/>
              <w:snapToGrid w:val="0"/>
              <w:jc w:val="center"/>
              <w:rPr>
                <w:rFonts w:hint="eastAsia" w:ascii="仿宋" w:hAnsi="仿宋" w:eastAsia="仿宋" w:cs="仿宋"/>
                <w:b/>
                <w:bCs/>
                <w:spacing w:val="-6"/>
                <w:sz w:val="21"/>
                <w:szCs w:val="21"/>
                <w:lang w:val="en-US" w:eastAsia="zh-CN"/>
              </w:rPr>
            </w:pPr>
            <w:r>
              <w:rPr>
                <w:rFonts w:hint="eastAsia" w:cs="仿宋"/>
                <w:b/>
                <w:bCs/>
                <w:spacing w:val="-6"/>
                <w:sz w:val="21"/>
                <w:szCs w:val="21"/>
                <w:lang w:val="en-US" w:eastAsia="zh-CN"/>
              </w:rPr>
              <w:t>35.87</w:t>
            </w:r>
            <w:r>
              <w:rPr>
                <w:rFonts w:hint="eastAsia" w:ascii="仿宋" w:hAnsi="仿宋" w:eastAsia="仿宋" w:cs="仿宋"/>
                <w:b/>
                <w:bCs/>
                <w:spacing w:val="-6"/>
                <w:sz w:val="21"/>
                <w:szCs w:val="21"/>
                <w:lang w:eastAsia="zh-CN"/>
              </w:rPr>
              <w:t>%</w:t>
            </w:r>
          </w:p>
        </w:tc>
      </w:tr>
    </w:tbl>
    <w:p w14:paraId="63724E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（三）调查勘探技术要求</w:t>
      </w:r>
    </w:p>
    <w:p w14:paraId="2CA6949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1.一类区域：采用不大于2米×2米等距梅花状布孔法勘探。涉及古墓葬类不可移动文物或地下文物埋藏区的，采用不大于1米等距平行布孔法勘探。</w:t>
      </w:r>
    </w:p>
    <w:p w14:paraId="64ABA02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2.二类区域：采用不大于</w:t>
      </w:r>
      <w:r>
        <w:rPr>
          <w:rFonts w:hint="default" w:ascii="Times New Roman" w:hAnsi="Times New Roman" w:eastAsia="仿宋_GB2312" w:cs="Times New Roman"/>
          <w:sz w:val="32"/>
          <w:szCs w:val="32"/>
          <w:highlight w:val="none"/>
        </w:rPr>
        <w:t>5米×5米</w:t>
      </w:r>
      <w:r>
        <w:rPr>
          <w:rFonts w:hint="default" w:ascii="Times New Roman" w:hAnsi="Times New Roman" w:eastAsia="仿宋_GB2312" w:cs="Times New Roman"/>
          <w:sz w:val="32"/>
          <w:szCs w:val="32"/>
        </w:rPr>
        <w:t>等距梅花状布孔法勘探，并辅助必要的重点勘探。对面积超过1平方公里、具备勘探条件的集中连片二类区域，鼓励申请文物资源区域评估。</w:t>
      </w:r>
    </w:p>
    <w:p w14:paraId="1EB20AE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3.三类区域：无需申请考古调查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勘探，可直接进行土地出让、划拨或建设工程。建设工程中发现文物或疑似文物的，按照《文物保护法》第四十六条相关规定办理。</w:t>
      </w:r>
    </w:p>
    <w:p w14:paraId="3851203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七、存在问题和工作建议</w:t>
      </w:r>
    </w:p>
    <w:p w14:paraId="21A39CD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（一）主要问题</w:t>
      </w:r>
    </w:p>
    <w:p w14:paraId="4D44F3F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本次划分工作系基于已知地下文物分布情况划定可能存在地下文物的三类区域，其结果具有相对性。由于地下文物埋藏具有不可预见性，一类区域与二类区域之间、二类区域与三类区域之间的划分并非绝对：二类区域仍可能存在尚未探明的重要地下文物，三类区域在后续建设过程中也有发现地下文物的可能。</w:t>
      </w:r>
    </w:p>
    <w:p w14:paraId="61F4C7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2.一类、二类、三类区域划分以现行乡镇（街道）行政区划及相对稳定的河流、山川、道路等既有地物为界，部分区域边界在实际操作中可能存在精度不足的问题，需在实施过程中逐步细化。</w:t>
      </w:r>
    </w:p>
    <w:p w14:paraId="1EC8FC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3.本成果实行动态管理，随着考古新发现和城市建设变化，区域类别需适时调整。目前尚未建立常态化的动态更新机制，可能影响成果的长期适用性。</w:t>
      </w:r>
    </w:p>
    <w:p w14:paraId="4FD97EB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（二）工作建议</w:t>
      </w:r>
    </w:p>
    <w:p w14:paraId="0256F5A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1.三类区域内建设工程施工过程中，如发现文物或疑似文物，应立即停止施工，保护现场，并按照《中华人民共和国文物保护法》第四十六条规定报告文物行政部门。</w:t>
      </w:r>
    </w:p>
    <w:p w14:paraId="2CF72AF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位于各类区域交界、边界精度可能存在争议的地块，宜遵循“就高不就低”的保护原则，待边界细化后按最终划定结果执行。各县级市（区）文物行政部门应结合日常考古工作，逐步积累边界区域的文物分布数据，为后续边界精确化提供依据。</w:t>
      </w:r>
    </w:p>
    <w:p w14:paraId="23A9D8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3.建议建立本成果的动态更新机制，明确更新启动条件、工作程序和审批流程。各县级市（区）文物行政部门在日常工作中发现确需调整区域类别的情形，应及时向苏州市文物局提出调整建议。</w:t>
      </w:r>
    </w:p>
    <w:p w14:paraId="11A8DE2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八</w:t>
      </w:r>
      <w:r>
        <w:rPr>
          <w:rFonts w:hint="default" w:ascii="Times New Roman" w:hAnsi="Times New Roman" w:eastAsia="黑体" w:cs="Times New Roman"/>
          <w:sz w:val="32"/>
          <w:szCs w:val="32"/>
        </w:rPr>
        <w:t>、附则</w:t>
      </w:r>
    </w:p>
    <w:p w14:paraId="631A663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1.本成果经苏州市自然资源和规划局、苏州市住房和城乡建设局等相关部门征求意见，经专家组论证通过，向社会公示无重大异议后，报江苏省文物局审核。</w:t>
      </w:r>
    </w:p>
    <w:p w14:paraId="5F55FE4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2.本成果自省文物局审核公布之日起施行，作为苏州市域范围内土地出让、划拨及建设工程</w:t>
      </w:r>
      <w:r>
        <w:rPr>
          <w:rFonts w:hint="eastAsia" w:ascii="Times New Roman" w:hAnsi="Times New Roman" w:eastAsia="仿宋_GB2312" w:cs="Times New Roman"/>
          <w:sz w:val="32"/>
          <w:szCs w:val="32"/>
          <w:lang w:val="en-US" w:eastAsia="zh-CN"/>
        </w:rPr>
        <w:t>前</w:t>
      </w:r>
      <w:r>
        <w:rPr>
          <w:rFonts w:hint="default" w:ascii="Times New Roman" w:hAnsi="Times New Roman" w:eastAsia="仿宋_GB2312" w:cs="Times New Roman"/>
          <w:sz w:val="32"/>
          <w:szCs w:val="32"/>
        </w:rPr>
        <w:t>考古调查</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勘探审批的依据。</w:t>
      </w:r>
    </w:p>
    <w:p w14:paraId="318F14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3.本成果实行动态管理。因考古新发现、城市建设变化等原因导致区域类别需要调整的，由苏州市文物局按照相关程序适时启动修订工作。</w:t>
      </w:r>
    </w:p>
    <w:p w14:paraId="2EAF55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4.本成果的解释权归苏州市文物局。</w:t>
      </w:r>
    </w:p>
    <w:sectPr>
      <w:footerReference r:id="rId3" w:type="default"/>
      <w:pgSz w:w="11906" w:h="16838"/>
      <w:pgMar w:top="2041" w:right="1531" w:bottom="1928"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E53D8C-41DC-4C36-9DC3-7FB4B2EE8E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C8CA7FC5-1CA6-4CB2-9D8B-4668300B1705}"/>
  </w:font>
  <w:font w:name="方正小标宋_GBK">
    <w:panose1 w:val="03000509000000000000"/>
    <w:charset w:val="86"/>
    <w:family w:val="auto"/>
    <w:pitch w:val="default"/>
    <w:sig w:usb0="00000001" w:usb1="080E0000" w:usb2="00000000" w:usb3="00000000" w:csb0="00040000" w:csb1="00000000"/>
    <w:embedRegular r:id="rId3" w:fontKey="{F4025798-9779-4499-AD8B-8D0C86CEA1D6}"/>
  </w:font>
  <w:font w:name="仿宋_GB2312">
    <w:panose1 w:val="02010609030101010101"/>
    <w:charset w:val="86"/>
    <w:family w:val="auto"/>
    <w:pitch w:val="default"/>
    <w:sig w:usb0="00000001" w:usb1="080E0000" w:usb2="00000000" w:usb3="00000000" w:csb0="00040000" w:csb1="00000000"/>
    <w:embedRegular r:id="rId4" w:fontKey="{29A8302B-AFB6-4FB0-9195-1C7FB32003EA}"/>
  </w:font>
  <w:font w:name="楷体">
    <w:panose1 w:val="02010609060101010101"/>
    <w:charset w:val="86"/>
    <w:family w:val="auto"/>
    <w:pitch w:val="default"/>
    <w:sig w:usb0="800002BF" w:usb1="38CF7CFA" w:usb2="00000016" w:usb3="00000000" w:csb0="00040001" w:csb1="00000000"/>
    <w:embedRegular r:id="rId5" w:fontKey="{16E0BF53-4E6A-4F97-A44C-8ECF7AD9EB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AFE2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C6E6CA">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C6E6CA">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60954"/>
    <w:rsid w:val="04277833"/>
    <w:rsid w:val="0E655203"/>
    <w:rsid w:val="121A67F7"/>
    <w:rsid w:val="125A5E03"/>
    <w:rsid w:val="1ED05D3B"/>
    <w:rsid w:val="289864AC"/>
    <w:rsid w:val="2CE339ED"/>
    <w:rsid w:val="3A9C74FA"/>
    <w:rsid w:val="48174564"/>
    <w:rsid w:val="4A7933B4"/>
    <w:rsid w:val="4C0A69B9"/>
    <w:rsid w:val="4C4E2FA9"/>
    <w:rsid w:val="4EA57DDE"/>
    <w:rsid w:val="51C130AF"/>
    <w:rsid w:val="55163126"/>
    <w:rsid w:val="55C909CB"/>
    <w:rsid w:val="596D67DA"/>
    <w:rsid w:val="60634492"/>
    <w:rsid w:val="741F3303"/>
    <w:rsid w:val="78762828"/>
    <w:rsid w:val="7A2111EE"/>
    <w:rsid w:val="7C1214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pPr>
      <w:widowControl w:val="0"/>
      <w:jc w:val="both"/>
    </w:pPr>
    <w:rPr>
      <w:rFonts w:ascii="仿宋" w:hAnsi="仿宋" w:eastAsia="仿宋" w:cs="仿宋"/>
      <w:kern w:val="2"/>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5882</Words>
  <Characters>6482</Characters>
  <Lines>0</Lines>
  <Paragraphs>0</Paragraphs>
  <TotalTime>2</TotalTime>
  <ScaleCrop>false</ScaleCrop>
  <LinksUpToDate>false</LinksUpToDate>
  <CharactersWithSpaces>6484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2026-06-17T05:33:00Z</dcterms:created>
  <dc:creator>WGB</dc:creator>
  <cp:lastModifiedBy>飞</cp:lastModifiedBy>
  <cp:lastPrinted>2026-06-21T08:39:00Z</cp:lastPrinted>
  <dcterms:modified xsi:type="dcterms:W3CDTF">2026-06-22T06:12:44Z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eyJoZGlkIjoiZmIyZjQ0OTU3ZGZiMjRkNjQ1MTM4ZDFjYzJmNGM5YzciLCJ1c2VySWQiOiI0ODkwMjM5MTMifQ==</vt:lpwstr>
  </property>
  <property fmtid="{D5CDD505-2E9C-101B-9397-08002B2CF9AE}" pid="4" name="ICV">
    <vt:lpwstr>4758668FEA8346E79CF9B255D905E4A6_13</vt:lpwstr>
  </property>
</Properties>
</file>