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keepNext w:val="0"/>
        <w:keepLines w:val="0"/>
        <w:pageBreakBefore w:val="0"/>
        <w:widowControl w:val="0"/>
        <w:kinsoku/>
        <w:wordWrap/>
        <w:overflowPunct/>
        <w:topLinePunct w:val="0"/>
        <w:autoSpaceDE/>
        <w:autoSpaceDN/>
        <w:bidi w:val="0"/>
        <w:adjustRightInd w:val="0"/>
        <w:snapToGrid w:val="0"/>
        <w:spacing w:line="620" w:lineRule="exact"/>
        <w:ind w:left="0" w:leftChars="0" w:right="0" w:rightChars="0" w:firstLine="0" w:firstLineChars="0"/>
        <w:jc w:val="center"/>
        <w:textAlignment w:val="auto"/>
        <w:outlineLvl w:val="0"/>
        <w:rPr>
          <w:rFonts w:ascii="方正小标宋简体" w:eastAsia="方正小标宋简体"/>
          <w:bCs/>
          <w:kern w:val="44"/>
          <w:sz w:val="44"/>
          <w:szCs w:val="44"/>
        </w:rPr>
      </w:pPr>
      <w:bookmarkStart w:id="0" w:name="OLE_LINK1"/>
    </w:p>
    <w:p>
      <w:pPr>
        <w:keepNext w:val="0"/>
        <w:keepLines w:val="0"/>
        <w:pageBreakBefore w:val="0"/>
        <w:widowControl w:val="0"/>
        <w:kinsoku/>
        <w:wordWrap/>
        <w:overflowPunct/>
        <w:topLinePunct w:val="0"/>
        <w:autoSpaceDE/>
        <w:autoSpaceDN/>
        <w:bidi w:val="0"/>
        <w:adjustRightInd w:val="0"/>
        <w:snapToGrid w:val="0"/>
        <w:spacing w:line="620" w:lineRule="exact"/>
        <w:ind w:left="0" w:leftChars="0" w:right="0" w:rightChars="0" w:firstLine="0" w:firstLineChars="0"/>
        <w:jc w:val="center"/>
        <w:textAlignment w:val="auto"/>
        <w:outlineLvl w:val="0"/>
        <w:rPr>
          <w:rFonts w:ascii="方正小标宋简体" w:eastAsia="方正小标宋简体"/>
          <w:bCs/>
          <w:kern w:val="44"/>
          <w:sz w:val="44"/>
          <w:szCs w:val="44"/>
        </w:rPr>
      </w:pPr>
      <w:bookmarkStart w:id="1" w:name="OLE_LINK6"/>
      <w:r>
        <w:rPr>
          <w:rFonts w:hint="eastAsia" w:ascii="方正小标宋简体" w:eastAsia="方正小标宋简体"/>
          <w:bCs/>
          <w:kern w:val="44"/>
          <w:sz w:val="44"/>
          <w:szCs w:val="44"/>
        </w:rPr>
        <w:t>苏州市促进入境旅游若干措施</w:t>
      </w:r>
    </w:p>
    <w:p>
      <w:pPr>
        <w:keepNext w:val="0"/>
        <w:keepLines w:val="0"/>
        <w:pageBreakBefore w:val="0"/>
        <w:widowControl w:val="0"/>
        <w:kinsoku/>
        <w:wordWrap/>
        <w:overflowPunct/>
        <w:topLinePunct w:val="0"/>
        <w:autoSpaceDE/>
        <w:autoSpaceDN/>
        <w:bidi w:val="0"/>
        <w:adjustRightInd w:val="0"/>
        <w:snapToGrid w:val="0"/>
        <w:spacing w:line="620" w:lineRule="exact"/>
        <w:ind w:left="0" w:leftChars="0" w:right="0" w:rightChars="0" w:firstLine="0" w:firstLineChars="0"/>
        <w:jc w:val="center"/>
        <w:textAlignment w:val="auto"/>
        <w:outlineLvl w:val="0"/>
        <w:rPr>
          <w:rFonts w:ascii="华文楷体" w:hAnsi="华文楷体" w:eastAsia="华文楷体" w:cs="华文楷体"/>
          <w:bCs/>
          <w:kern w:val="44"/>
          <w:szCs w:val="32"/>
        </w:rPr>
      </w:pPr>
      <w:r>
        <w:rPr>
          <w:rFonts w:hint="eastAsia" w:ascii="华文楷体" w:hAnsi="华文楷体" w:eastAsia="华文楷体" w:cs="华文楷体"/>
          <w:bCs/>
          <w:kern w:val="44"/>
          <w:szCs w:val="32"/>
        </w:rPr>
        <w:t>（</w:t>
      </w:r>
      <w:r>
        <w:rPr>
          <w:rFonts w:hint="eastAsia" w:ascii="华文楷体" w:hAnsi="华文楷体" w:eastAsia="华文楷体" w:cs="华文楷体"/>
          <w:bCs/>
          <w:kern w:val="44"/>
          <w:szCs w:val="32"/>
          <w:lang w:val="en-US" w:eastAsia="zh-CN"/>
        </w:rPr>
        <w:t>征求意见稿</w:t>
      </w:r>
      <w:r>
        <w:rPr>
          <w:rFonts w:hint="eastAsia" w:ascii="华文楷体" w:hAnsi="华文楷体" w:eastAsia="华文楷体" w:cs="华文楷体"/>
          <w:bCs/>
          <w:kern w:val="44"/>
          <w:szCs w:val="32"/>
        </w:rPr>
        <w:t>）</w:t>
      </w:r>
    </w:p>
    <w:p>
      <w:pPr>
        <w:keepNext w:val="0"/>
        <w:keepLines w:val="0"/>
        <w:pageBreakBefore w:val="0"/>
        <w:widowControl w:val="0"/>
        <w:kinsoku/>
        <w:wordWrap/>
        <w:overflowPunct/>
        <w:topLinePunct w:val="0"/>
        <w:autoSpaceDE/>
        <w:autoSpaceDN/>
        <w:bidi w:val="0"/>
        <w:adjustRightInd w:val="0"/>
        <w:snapToGrid w:val="0"/>
        <w:spacing w:line="620" w:lineRule="exact"/>
        <w:ind w:left="0" w:leftChars="0" w:right="0" w:rightChars="0" w:firstLine="640"/>
        <w:textAlignment w:val="auto"/>
        <w:rPr>
          <w:rFonts w:hint="eastAsia"/>
        </w:rPr>
      </w:pPr>
    </w:p>
    <w:p>
      <w:pPr>
        <w:ind w:firstLine="640"/>
      </w:pPr>
      <w:r>
        <w:rPr>
          <w:rFonts w:hint="eastAsia"/>
        </w:rPr>
        <w:t>为深入贯彻落实国家及江苏省关于促进入境旅游发展的决策部署，进一步激活入境旅游市场活力，加快推进世界级旅游目的地建设，繁荣旅游经济、扩大旅游消费，根据国务院办公厅《关于释放旅游消费潜力推动旅游业高质量发展的若干措施》（国办发〔2023〕36号）、《关于进一步优化支付服务提升支付便利性的意见》（国办发〔2024〕10号）等文件精神，按照《江苏省促进入境旅游恢复发展若干措施》（苏文旅发〔2024〕12号）要求，结合我市实际，制定本政策。</w:t>
      </w:r>
    </w:p>
    <w:p>
      <w:pPr>
        <w:numPr>
          <w:ilvl w:val="0"/>
          <w:numId w:val="1"/>
        </w:numPr>
        <w:ind w:firstLine="640"/>
        <w:outlineLvl w:val="1"/>
        <w:rPr>
          <w:rFonts w:ascii="黑体" w:eastAsia="黑体" w:hAnsiTheme="majorHAnsi" w:cstheme="majorBidi"/>
          <w:bCs/>
          <w:szCs w:val="32"/>
        </w:rPr>
      </w:pPr>
      <w:r>
        <w:rPr>
          <w:rFonts w:hint="eastAsia" w:ascii="黑体" w:eastAsia="黑体" w:hAnsiTheme="majorHAnsi" w:cstheme="majorBidi"/>
          <w:bCs/>
          <w:szCs w:val="32"/>
        </w:rPr>
        <w:t>激励引客入苏留苏</w:t>
      </w:r>
      <w:bookmarkStart w:id="2" w:name="OLE_LINK3"/>
    </w:p>
    <w:bookmarkEnd w:id="2"/>
    <w:p>
      <w:pPr>
        <w:ind w:firstLine="640"/>
      </w:pPr>
      <w:r>
        <w:rPr>
          <w:rFonts w:hint="eastAsia" w:eastAsia="楷体_GB2312" w:cs="Times New Roman"/>
        </w:rPr>
        <w:t>1</w:t>
      </w:r>
      <w:r>
        <w:rPr>
          <w:rFonts w:eastAsia="楷体_GB2312" w:cs="Times New Roman"/>
        </w:rPr>
        <w:t>. </w:t>
      </w:r>
      <w:r>
        <w:rPr>
          <w:rFonts w:hint="eastAsia" w:eastAsia="楷体_GB2312" w:cs="Times New Roman"/>
        </w:rPr>
        <w:t>自主外联</w:t>
      </w:r>
      <w:r>
        <w:rPr>
          <w:rFonts w:eastAsia="楷体_GB2312" w:cs="Times New Roman"/>
        </w:rPr>
        <w:t>境外客群引流奖励。</w:t>
      </w:r>
      <w:r>
        <w:rPr>
          <w:rFonts w:hint="eastAsia"/>
        </w:rPr>
        <w:t>鼓励文旅企业结合目标客源国家或地区特点开展自主外联和精准营销推介，维护与当地文旅机构及企业合作关系，提升苏州入境旅游产品吸引力。对全年吸引入境游客来苏过夜总人天数达到10000人天的，给予2</w:t>
      </w:r>
      <w:r>
        <w:t>0</w:t>
      </w:r>
      <w:r>
        <w:rPr>
          <w:rFonts w:hint="eastAsia"/>
        </w:rPr>
        <w:t>万元奖励；达到20000人天的，给予50万元奖励；达到40000人天的，给予100万元奖励；达到80000人天的，给予200万元奖励。</w:t>
      </w:r>
    </w:p>
    <w:p>
      <w:pPr>
        <w:ind w:firstLine="640"/>
      </w:pPr>
      <w:r>
        <w:rPr>
          <w:rFonts w:hint="eastAsia" w:eastAsia="楷体_GB2312" w:cs="Times New Roman"/>
        </w:rPr>
        <w:t>2</w:t>
      </w:r>
      <w:r>
        <w:rPr>
          <w:rFonts w:eastAsia="楷体_GB2312" w:cs="Times New Roman"/>
        </w:rPr>
        <w:t>.</w:t>
      </w:r>
      <w:r>
        <w:rPr>
          <w:rFonts w:hint="eastAsia" w:eastAsia="楷体_GB2312" w:cs="Times New Roman"/>
        </w:rPr>
        <w:t>地接</w:t>
      </w:r>
      <w:r>
        <w:rPr>
          <w:rFonts w:eastAsia="楷体_GB2312" w:cs="Times New Roman"/>
        </w:rPr>
        <w:t>境外游客来苏州旅游</w:t>
      </w:r>
      <w:r>
        <w:rPr>
          <w:rFonts w:hint="eastAsia" w:eastAsia="楷体_GB2312" w:cs="Times New Roman"/>
        </w:rPr>
        <w:t>奖励</w:t>
      </w:r>
      <w:r>
        <w:rPr>
          <w:rFonts w:eastAsia="楷体_GB2312" w:cs="Times New Roman"/>
        </w:rPr>
        <w:t>。</w:t>
      </w:r>
      <w:r>
        <w:rPr>
          <w:rFonts w:hint="eastAsia"/>
        </w:rPr>
        <w:t>鼓励旅行社或在线旅游平台吸引境外游客和在华外国人到苏州旅游。对旅行社地接或在线旅游平台吸引境外游客在苏州过夜的，按照第一晚20元/人、第二晚</w:t>
      </w:r>
      <w:r>
        <w:t>4</w:t>
      </w:r>
      <w:r>
        <w:rPr>
          <w:rFonts w:hint="eastAsia"/>
        </w:rPr>
        <w:t>0元/人、第三晚40元/人的标准予以补助，年度一次性最高不超过200万元。</w:t>
      </w:r>
    </w:p>
    <w:p>
      <w:pPr>
        <w:ind w:firstLine="640"/>
      </w:pPr>
      <w:r>
        <w:rPr>
          <w:rFonts w:hint="eastAsia" w:eastAsia="楷体_GB2312" w:cs="Times New Roman"/>
        </w:rPr>
        <w:t>3</w:t>
      </w:r>
      <w:r>
        <w:rPr>
          <w:rFonts w:eastAsia="楷体_GB2312" w:cs="Times New Roman"/>
        </w:rPr>
        <w:t>.</w:t>
      </w:r>
      <w:r>
        <w:rPr>
          <w:rFonts w:hint="eastAsia" w:eastAsia="楷体_GB2312" w:cs="Times New Roman"/>
        </w:rPr>
        <w:t>组织入境游客</w:t>
      </w:r>
      <w:r>
        <w:rPr>
          <w:rFonts w:eastAsia="楷体_GB2312" w:cs="Times New Roman"/>
        </w:rPr>
        <w:t>苏州</w:t>
      </w:r>
      <w:r>
        <w:rPr>
          <w:rFonts w:hint="eastAsia" w:eastAsia="楷体_GB2312" w:cs="Times New Roman"/>
        </w:rPr>
        <w:t>一日游奖励</w:t>
      </w:r>
      <w:r>
        <w:rPr>
          <w:rFonts w:eastAsia="楷体_GB2312" w:cs="Times New Roman"/>
        </w:rPr>
        <w:t>。</w:t>
      </w:r>
      <w:r>
        <w:rPr>
          <w:rFonts w:hint="eastAsia"/>
        </w:rPr>
        <w:t>鼓励文旅企业、学校组织组织境外游客和在华外国人到苏州开展一日游、研学等活动。对组织主要入境游目的国家和地区，开展产生重要社会影响力的项目，给予支持。</w:t>
      </w:r>
    </w:p>
    <w:p>
      <w:pPr>
        <w:ind w:firstLine="640"/>
        <w:outlineLvl w:val="1"/>
        <w:rPr>
          <w:rFonts w:ascii="黑体" w:eastAsia="黑体" w:hAnsiTheme="majorHAnsi" w:cstheme="majorBidi"/>
          <w:bCs/>
          <w:szCs w:val="32"/>
        </w:rPr>
      </w:pPr>
      <w:bookmarkStart w:id="3" w:name="OLE_LINK5"/>
      <w:r>
        <w:rPr>
          <w:rFonts w:hint="eastAsia" w:ascii="黑体" w:eastAsia="黑体" w:hAnsiTheme="majorHAnsi" w:cstheme="majorBidi"/>
          <w:bCs/>
          <w:szCs w:val="32"/>
        </w:rPr>
        <w:t>二、拓展海外客源市场渠道</w:t>
      </w:r>
    </w:p>
    <w:p>
      <w:pPr>
        <w:ind w:firstLine="640"/>
        <w:outlineLvl w:val="1"/>
      </w:pPr>
      <w:r>
        <w:rPr>
          <w:rFonts w:hint="eastAsia" w:eastAsia="楷体_GB2312"/>
          <w:bCs/>
          <w:szCs w:val="32"/>
        </w:rPr>
        <w:t>4</w:t>
      </w:r>
      <w:r>
        <w:rPr>
          <w:rFonts w:eastAsia="楷体_GB2312"/>
          <w:bCs/>
          <w:szCs w:val="32"/>
        </w:rPr>
        <w:t>.</w:t>
      </w:r>
      <w:r>
        <w:rPr>
          <w:rFonts w:hint="eastAsia" w:eastAsia="楷体_GB2312"/>
          <w:bCs/>
          <w:szCs w:val="32"/>
        </w:rPr>
        <w:t>境外推广载体扶持。</w:t>
      </w:r>
      <w:r>
        <w:rPr>
          <w:rFonts w:hint="eastAsia"/>
        </w:rPr>
        <w:t>支持文旅企业在境外设立并运营“苏州旅游推广中心”。对同时满足以下条件的，给予80万元奖励：①全年举办同业推介会不少于2次，每次参会旅行商不少于10家；②全年面向当地民众举办线下推广活动不少于12次，每次参与人数不低于100人，并获当地主流媒体报道；③全年组织当地旅行商、协会代表、媒体及网红达人等来苏踩线，总人天数不低于80天；④全年招揽当地及周边地区游客来苏，总人天数达到2000天。</w:t>
      </w:r>
    </w:p>
    <w:p>
      <w:pPr>
        <w:ind w:firstLine="560"/>
        <w:jc w:val="left"/>
      </w:pPr>
      <w:bookmarkStart w:id="4" w:name="OLE_LINK4"/>
      <w:r>
        <w:rPr>
          <w:rFonts w:hint="eastAsia"/>
          <w:sz w:val="28"/>
          <w:szCs w:val="28"/>
        </w:rPr>
        <w:t>5.</w:t>
      </w:r>
      <w:bookmarkEnd w:id="4"/>
      <w:r>
        <w:rPr>
          <w:rFonts w:hint="eastAsia" w:eastAsia="楷体_GB2312"/>
          <w:bCs/>
          <w:szCs w:val="32"/>
        </w:rPr>
        <w:t>境内推广载体扶持。</w:t>
      </w:r>
      <w:r>
        <w:rPr>
          <w:rFonts w:hint="eastAsia"/>
        </w:rPr>
        <w:t>支持在苏州周边机场设立“苏州旅游服务中心”，重点开展城市形象宣传与文旅精准引流。对全年接待问询超过2万人次、精准投放旅游资料超过5000份且实现有效客源转化的，给予50万元奖励。</w:t>
      </w:r>
    </w:p>
    <w:p>
      <w:pPr>
        <w:ind w:firstLine="640"/>
      </w:pPr>
      <w:r>
        <w:rPr>
          <w:rFonts w:hint="eastAsia" w:eastAsia="楷体_GB2312"/>
          <w:bCs/>
          <w:szCs w:val="32"/>
        </w:rPr>
        <w:t>6</w:t>
      </w:r>
      <w:r>
        <w:rPr>
          <w:rFonts w:eastAsia="楷体_GB2312"/>
          <w:bCs/>
          <w:szCs w:val="32"/>
        </w:rPr>
        <w:t>.</w:t>
      </w:r>
      <w:r>
        <w:rPr>
          <w:rFonts w:hint="eastAsia" w:eastAsia="楷体_GB2312"/>
          <w:bCs/>
          <w:szCs w:val="32"/>
        </w:rPr>
        <w:t>境外市场推广支持。</w:t>
      </w:r>
      <w:bookmarkEnd w:id="3"/>
      <w:r>
        <w:rPr>
          <w:rFonts w:hint="eastAsia"/>
        </w:rPr>
        <w:t>鼓励文旅企业积极参与境外旅游展演、展览、展销等活动，提升苏州文旅国际影响力。符合条件的项目，依照《苏州市文化和旅游“走出去”项目奖励和补贴管理办法》给予相应奖励。</w:t>
      </w:r>
    </w:p>
    <w:p>
      <w:pPr>
        <w:ind w:firstLine="640"/>
        <w:outlineLvl w:val="1"/>
        <w:rPr>
          <w:rFonts w:ascii="黑体" w:eastAsia="黑体" w:hAnsiTheme="majorHAnsi" w:cstheme="majorBidi"/>
          <w:bCs/>
          <w:szCs w:val="32"/>
        </w:rPr>
      </w:pPr>
      <w:r>
        <w:rPr>
          <w:rFonts w:hint="eastAsia" w:ascii="黑体" w:eastAsia="黑体" w:hAnsiTheme="majorHAnsi" w:cstheme="majorBidi"/>
          <w:bCs/>
          <w:szCs w:val="32"/>
        </w:rPr>
        <w:t>三、优化入境旅游服务环境</w:t>
      </w:r>
    </w:p>
    <w:p>
      <w:pPr>
        <w:ind w:firstLine="640"/>
      </w:pPr>
      <w:bookmarkStart w:id="5" w:name="OLE_LINK2"/>
      <w:r>
        <w:rPr>
          <w:rFonts w:hint="eastAsia" w:eastAsia="楷体_GB2312"/>
          <w:bCs/>
          <w:szCs w:val="32"/>
        </w:rPr>
        <w:t>7</w:t>
      </w:r>
      <w:r>
        <w:rPr>
          <w:rFonts w:eastAsia="楷体_GB2312"/>
          <w:bCs/>
          <w:szCs w:val="32"/>
        </w:rPr>
        <w:t>.</w:t>
      </w:r>
      <w:r>
        <w:rPr>
          <w:rFonts w:hint="eastAsia" w:eastAsia="楷体_GB2312"/>
          <w:bCs/>
          <w:szCs w:val="32"/>
        </w:rPr>
        <w:t>创新深度游精品线路。</w:t>
      </w:r>
      <w:r>
        <w:rPr>
          <w:rFonts w:hint="eastAsia"/>
        </w:rPr>
        <w:t>鼓励文旅企业推出中医养生、工业旅游、体育休闲等主题的入境旅游精品线路产品，全年销售超过1000单（人）的，给予5万元奖励。</w:t>
      </w:r>
    </w:p>
    <w:p>
      <w:pPr>
        <w:ind w:firstLine="640"/>
      </w:pPr>
      <w:r>
        <w:rPr>
          <w:rFonts w:hint="eastAsia" w:ascii="楷体_GB2312" w:hAnsi="楷体_GB2312" w:eastAsia="楷体_GB2312" w:cs="楷体_GB2312"/>
        </w:rPr>
        <w:t>8.建</w:t>
      </w:r>
      <w:r>
        <w:rPr>
          <w:rFonts w:ascii="楷体_GB2312" w:hAnsi="楷体_GB2312" w:eastAsia="楷体_GB2312" w:cs="楷体_GB2312"/>
        </w:rPr>
        <w:t>全</w:t>
      </w:r>
      <w:r>
        <w:rPr>
          <w:rFonts w:hint="eastAsia" w:ascii="楷体_GB2312" w:hAnsi="楷体_GB2312" w:eastAsia="楷体_GB2312" w:cs="楷体_GB2312"/>
        </w:rPr>
        <w:t>外语导游人才队伍</w:t>
      </w:r>
      <w:r>
        <w:rPr>
          <w:rFonts w:hint="eastAsia"/>
        </w:rPr>
        <w:t>。建</w:t>
      </w:r>
      <w:r>
        <w:t>全</w:t>
      </w:r>
      <w:r>
        <w:rPr>
          <w:rFonts w:hint="eastAsia"/>
        </w:rPr>
        <w:t>苏州市外语导游紧缺人才队伍，定期开展业务培训交流。鼓励优秀导游通过建立个人工作室发挥“传帮带”作用。对优秀导游建立个人工作室，发挥工作室孵化作用，全年培育新注册外语导游3名，且运转规范，定期开展培训、交流活动不少于4次，给予5万元的奖励。</w:t>
      </w:r>
    </w:p>
    <w:p>
      <w:pPr>
        <w:ind w:firstLine="640"/>
      </w:pPr>
      <w:r>
        <w:rPr>
          <w:rFonts w:hint="eastAsia" w:eastAsia="楷体_GB2312"/>
          <w:bCs/>
          <w:szCs w:val="32"/>
        </w:rPr>
        <w:t>9.提升消费场景品质。</w:t>
      </w:r>
      <w:r>
        <w:rPr>
          <w:rFonts w:hint="eastAsia"/>
        </w:rPr>
        <w:t>引导各文旅点位围绕入境游客需求，持续优化消费场景。支持新建或改造既有场景，开发销售入境游客苏州Pass卡，设立消费离境退税点位，完善多语种讲解服务，布设智能翻译设备，升级厕卫设施等，全面提升入境游客服务体验与便利度。对全年开发销售入境游客苏州Pass卡超过5000张的，给予15万元奖励；超过10000张的，给予30万元奖励；超过15000张的，给予50万元奖励。对设立消费离境退税点位并全年完成1000笔以上退税的，给予5万元奖励。</w:t>
      </w:r>
    </w:p>
    <w:bookmarkEnd w:id="5"/>
    <w:p>
      <w:pPr>
        <w:ind w:firstLine="640"/>
        <w:outlineLvl w:val="1"/>
        <w:rPr>
          <w:rFonts w:ascii="黑体" w:eastAsia="黑体" w:hAnsiTheme="majorHAnsi" w:cstheme="majorBidi"/>
          <w:bCs/>
          <w:szCs w:val="32"/>
        </w:rPr>
      </w:pPr>
      <w:r>
        <w:rPr>
          <w:rFonts w:hint="eastAsia" w:ascii="黑体" w:eastAsia="黑体" w:hAnsiTheme="majorHAnsi" w:cstheme="majorBidi"/>
          <w:bCs/>
          <w:szCs w:val="32"/>
        </w:rPr>
        <w:t>四、附则</w:t>
      </w:r>
    </w:p>
    <w:p>
      <w:pPr>
        <w:ind w:firstLine="640"/>
      </w:pPr>
      <w:r>
        <w:rPr>
          <w:rFonts w:hint="eastAsia"/>
        </w:rPr>
        <w:t>本政策自</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日起施行，有效期至</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bookmarkStart w:id="6" w:name="_GoBack"/>
      <w:bookmarkEnd w:id="6"/>
      <w:r>
        <w:rPr>
          <w:rFonts w:hint="eastAsia"/>
        </w:rPr>
        <w:t>日。申报实施细则由市文化广电和旅游局另行制定。同一市场主体符合上述多条政策或有其他同类政策的，按就高不重复原则执行。申报期限不足一年的，按比例折算，向上取整。</w:t>
      </w:r>
    </w:p>
    <w:bookmarkEnd w:id="0"/>
    <w:bookmarkEnd w:id="1"/>
    <w:p>
      <w:pPr>
        <w:ind w:firstLine="640"/>
      </w:pPr>
    </w:p>
    <w:sectPr>
      <w:headerReference r:id="rId5" w:type="first"/>
      <w:footerReference r:id="rId8" w:type="first"/>
      <w:headerReference r:id="rId3" w:type="default"/>
      <w:footerReference r:id="rId6" w:type="default"/>
      <w:headerReference r:id="rId4" w:type="even"/>
      <w:footerReference r:id="rId7" w:type="even"/>
      <w:pgSz w:w="11906" w:h="16838"/>
      <w:pgMar w:top="2041" w:right="1531" w:bottom="1928" w:left="1531" w:header="851" w:footer="1247"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黑体">
    <w:panose1 w:val="02010600030101010101"/>
    <w:charset w:val="86"/>
    <w:family w:val="swiss"/>
    <w:pitch w:val="default"/>
    <w:sig w:usb0="800002BF" w:usb1="38CF7CFA" w:usb2="00000016" w:usb3="00000000" w:csb0="00040001" w:csb1="00000000"/>
  </w:font>
  <w:font w:name="楷体_GB2312">
    <w:panose1 w:val="02010609030101010101"/>
    <w:charset w:val="86"/>
    <w:family w:val="swiss"/>
    <w:pitch w:val="default"/>
    <w:sig w:usb0="00000001" w:usb1="080E0000" w:usb2="00000000" w:usb3="00000000" w:csb0="00040000" w:csb1="00000000"/>
  </w:font>
  <w:font w:name="楷体">
    <w:panose1 w:val="02010609060101010101"/>
    <w:charset w:val="86"/>
    <w:family w:val="swiss"/>
    <w:pitch w:val="default"/>
    <w:sig w:usb0="800002BF" w:usb1="38CF7CFA" w:usb2="00000016" w:usb3="00000000" w:csb0="00040001" w:csb1="00000000"/>
  </w:font>
  <w:font w:name="仿宋">
    <w:panose1 w:val="02010609060101010101"/>
    <w:charset w:val="86"/>
    <w:family w:val="swiss"/>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6"/>
      <w:ind w:firstLine="360" w:firstLineChars="0"/>
      <w:jc w:val="center"/>
      <w:rPr>
        <w:rFonts w:cs="Times New Roman"/>
        <w:sz w:val="30"/>
        <w:szCs w:val="30"/>
      </w:rPr>
    </w:pPr>
    <w:r>
      <w:rPr>
        <w:rFonts w:cs="Times New Roman"/>
        <w:sz w:val="30"/>
        <w:szCs w:val="30"/>
      </w:rPr>
      <w:t xml:space="preserve">— </w:t>
    </w:r>
    <w:r>
      <w:rPr>
        <w:rFonts w:cs="Times New Roman"/>
        <w:sz w:val="30"/>
        <w:szCs w:val="30"/>
      </w:rPr>
      <w:fldChar w:fldCharType="begin"/>
    </w:r>
    <w:r>
      <w:rPr>
        <w:rFonts w:cs="Times New Roman"/>
        <w:sz w:val="30"/>
        <w:szCs w:val="30"/>
      </w:rPr>
      <w:instrText xml:space="preserve">PAGE   \* MERGEFORMAT</w:instrText>
    </w:r>
    <w:r>
      <w:rPr>
        <w:rFonts w:cs="Times New Roman"/>
        <w:sz w:val="30"/>
        <w:szCs w:val="30"/>
      </w:rPr>
      <w:fldChar w:fldCharType="separate"/>
    </w:r>
    <w:r>
      <w:t>2</w:t>
    </w:r>
    <w:r>
      <w:rPr>
        <w:rFonts w:cs="Times New Roman"/>
        <w:sz w:val="30"/>
        <w:szCs w:val="30"/>
      </w:rPr>
      <w:fldChar w:fldCharType="end"/>
    </w:r>
    <w:r>
      <w:rPr>
        <w:rFonts w:cs="Times New Roman"/>
        <w:sz w:val="30"/>
        <w:szCs w:val="3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7"/>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65342442">
    <w:nsid w:val="6938FCEA"/>
    <w:multiLevelType w:val="singleLevel"/>
    <w:tmpl w:val="6938FCEA"/>
    <w:lvl w:ilvl="0" w:tentative="1">
      <w:start w:val="1"/>
      <w:numFmt w:val="chineseCounting"/>
      <w:suff w:val="nothing"/>
      <w:lvlText w:val="%1、"/>
      <w:lvlJc w:val="left"/>
    </w:lvl>
  </w:abstractNum>
  <w:num w:numId="1">
    <w:abstractNumId w:val="1765342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4MzZjMjdjODQ2MGE1YzkyMmYzMTFhZWJmNDg4ZWEifQ=="/>
  </w:docVars>
  <w:rsids>
    <w:rsidRoot w:val="009D4E10"/>
    <w:rsid w:val="00040812"/>
    <w:rsid w:val="00240C8F"/>
    <w:rsid w:val="002E4693"/>
    <w:rsid w:val="003A5D2B"/>
    <w:rsid w:val="003F3999"/>
    <w:rsid w:val="003F495E"/>
    <w:rsid w:val="003F50A1"/>
    <w:rsid w:val="00437EF0"/>
    <w:rsid w:val="004C26E5"/>
    <w:rsid w:val="00510E22"/>
    <w:rsid w:val="006D493F"/>
    <w:rsid w:val="006E01D2"/>
    <w:rsid w:val="007306C7"/>
    <w:rsid w:val="00732610"/>
    <w:rsid w:val="009D4E10"/>
    <w:rsid w:val="009D777C"/>
    <w:rsid w:val="00A00731"/>
    <w:rsid w:val="00C6309C"/>
    <w:rsid w:val="00C8551B"/>
    <w:rsid w:val="00D71296"/>
    <w:rsid w:val="00DA6BA6"/>
    <w:rsid w:val="00DD5380"/>
    <w:rsid w:val="020B4D35"/>
    <w:rsid w:val="08A1022D"/>
    <w:rsid w:val="09444942"/>
    <w:rsid w:val="0FD61908"/>
    <w:rsid w:val="14C65BE0"/>
    <w:rsid w:val="1975D756"/>
    <w:rsid w:val="1CF1FC36"/>
    <w:rsid w:val="1D75581C"/>
    <w:rsid w:val="229009C2"/>
    <w:rsid w:val="274B1605"/>
    <w:rsid w:val="2A997AF3"/>
    <w:rsid w:val="2FE63B84"/>
    <w:rsid w:val="31CF7352"/>
    <w:rsid w:val="3BFD6867"/>
    <w:rsid w:val="3D9F80DF"/>
    <w:rsid w:val="3FFCF197"/>
    <w:rsid w:val="3FFF3B08"/>
    <w:rsid w:val="42DE3341"/>
    <w:rsid w:val="46C50D86"/>
    <w:rsid w:val="46E97663"/>
    <w:rsid w:val="4A7D2A42"/>
    <w:rsid w:val="58801E3E"/>
    <w:rsid w:val="5AFFE47A"/>
    <w:rsid w:val="5B324C2A"/>
    <w:rsid w:val="5C5B6301"/>
    <w:rsid w:val="5C9ED44B"/>
    <w:rsid w:val="5EDFC440"/>
    <w:rsid w:val="5F7E1A46"/>
    <w:rsid w:val="5FDF7D16"/>
    <w:rsid w:val="5FED50B4"/>
    <w:rsid w:val="5FFF488C"/>
    <w:rsid w:val="60790A98"/>
    <w:rsid w:val="6562040E"/>
    <w:rsid w:val="676B7A5E"/>
    <w:rsid w:val="6B9F7EB3"/>
    <w:rsid w:val="6C9F1656"/>
    <w:rsid w:val="6DF6FD1D"/>
    <w:rsid w:val="6E51728C"/>
    <w:rsid w:val="6F3B9F60"/>
    <w:rsid w:val="6F6E41E1"/>
    <w:rsid w:val="71F30D3F"/>
    <w:rsid w:val="74BF686D"/>
    <w:rsid w:val="7726DADB"/>
    <w:rsid w:val="773D959B"/>
    <w:rsid w:val="7BBEFBE9"/>
    <w:rsid w:val="7BFF015F"/>
    <w:rsid w:val="7DFF356B"/>
    <w:rsid w:val="7EF8DA5D"/>
    <w:rsid w:val="7EFF17CF"/>
    <w:rsid w:val="7F7FC946"/>
    <w:rsid w:val="7F8D38FC"/>
    <w:rsid w:val="7FB33F89"/>
    <w:rsid w:val="87AF0BB9"/>
    <w:rsid w:val="913F6BC9"/>
    <w:rsid w:val="991F24A5"/>
    <w:rsid w:val="BAF7BE6C"/>
    <w:rsid w:val="BD3531CE"/>
    <w:rsid w:val="BEFFD267"/>
    <w:rsid w:val="BF1CF2D2"/>
    <w:rsid w:val="BFBD952C"/>
    <w:rsid w:val="C2BF9D7F"/>
    <w:rsid w:val="CBF52855"/>
    <w:rsid w:val="CF7EF390"/>
    <w:rsid w:val="D5F72244"/>
    <w:rsid w:val="DD6FC2B1"/>
    <w:rsid w:val="DDAFD503"/>
    <w:rsid w:val="DECF5AE3"/>
    <w:rsid w:val="DF971E24"/>
    <w:rsid w:val="DFCB6AB9"/>
    <w:rsid w:val="DFFFA867"/>
    <w:rsid w:val="E5E2E5CB"/>
    <w:rsid w:val="EFAF5E39"/>
    <w:rsid w:val="EFBEA02E"/>
    <w:rsid w:val="F51E7AD3"/>
    <w:rsid w:val="F797754B"/>
    <w:rsid w:val="F8D33F97"/>
    <w:rsid w:val="FAE87446"/>
    <w:rsid w:val="FBFD013A"/>
    <w:rsid w:val="FCDF62F3"/>
    <w:rsid w:val="FE9E3590"/>
    <w:rsid w:val="FF870806"/>
    <w:rsid w:val="FFD3245D"/>
    <w:rsid w:val="FFFEB6CC"/>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80"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11"/>
    <w:qFormat/>
    <w:uiPriority w:val="9"/>
    <w:pPr>
      <w:ind w:firstLine="0" w:firstLineChars="0"/>
      <w:jc w:val="center"/>
      <w:outlineLvl w:val="0"/>
    </w:pPr>
    <w:rPr>
      <w:rFonts w:ascii="方正小标宋简体" w:eastAsia="方正小标宋简体"/>
      <w:bCs/>
      <w:kern w:val="44"/>
      <w:sz w:val="44"/>
      <w:szCs w:val="44"/>
    </w:rPr>
  </w:style>
  <w:style w:type="paragraph" w:styleId="3">
    <w:name w:val="heading 2"/>
    <w:basedOn w:val="1"/>
    <w:next w:val="1"/>
    <w:link w:val="12"/>
    <w:unhideWhenUsed/>
    <w:qFormat/>
    <w:uiPriority w:val="9"/>
    <w:pPr>
      <w:outlineLvl w:val="1"/>
    </w:pPr>
    <w:rPr>
      <w:rFonts w:ascii="黑体" w:eastAsia="黑体" w:hAnsiTheme="majorHAnsi" w:cstheme="majorBidi"/>
      <w:bCs/>
      <w:szCs w:val="32"/>
    </w:rPr>
  </w:style>
  <w:style w:type="paragraph" w:styleId="4">
    <w:name w:val="heading 3"/>
    <w:basedOn w:val="1"/>
    <w:next w:val="1"/>
    <w:link w:val="16"/>
    <w:unhideWhenUsed/>
    <w:qFormat/>
    <w:uiPriority w:val="9"/>
    <w:pPr>
      <w:outlineLvl w:val="2"/>
    </w:pPr>
    <w:rPr>
      <w:rFonts w:eastAsia="楷体_GB2312"/>
      <w:bCs/>
      <w:szCs w:val="32"/>
    </w:rPr>
  </w:style>
  <w:style w:type="paragraph" w:styleId="5">
    <w:name w:val="heading 4"/>
    <w:basedOn w:val="1"/>
    <w:next w:val="1"/>
    <w:link w:val="17"/>
    <w:unhideWhenUsed/>
    <w:qFormat/>
    <w:uiPriority w:val="9"/>
    <w:pPr>
      <w:outlineLvl w:val="3"/>
    </w:pPr>
    <w:rPr>
      <w:rFonts w:cstheme="majorBidi"/>
      <w:b/>
      <w:bCs/>
      <w:szCs w:val="28"/>
    </w:rPr>
  </w:style>
  <w:style w:type="character" w:default="1" w:styleId="9">
    <w:name w:val="Default Paragraph Font"/>
    <w:unhideWhenUsed/>
    <w:uiPriority w:val="1"/>
  </w:style>
  <w:style w:type="table" w:default="1" w:styleId="10">
    <w:name w:val="Normal Table"/>
    <w:unhideWhenUsed/>
    <w:uiPriority w:val="99"/>
    <w:tblPr>
      <w:tblLayout w:type="fixed"/>
      <w:tblCellMar>
        <w:top w:w="0" w:type="dxa"/>
        <w:left w:w="108" w:type="dxa"/>
        <w:bottom w:w="0" w:type="dxa"/>
        <w:right w:w="108" w:type="dxa"/>
      </w:tblCellMar>
    </w:tblPr>
  </w:style>
  <w:style w:type="paragraph" w:styleId="6">
    <w:name w:val="footer"/>
    <w:basedOn w:val="1"/>
    <w:link w:val="15"/>
    <w:unhideWhenUsed/>
    <w:qFormat/>
    <w:uiPriority w:val="99"/>
    <w:pPr>
      <w:tabs>
        <w:tab w:val="center" w:pos="4153"/>
        <w:tab w:val="right" w:pos="8306"/>
      </w:tabs>
      <w:spacing w:line="240" w:lineRule="atLeast"/>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pacing w:line="240" w:lineRule="atLeast"/>
      <w:jc w:val="center"/>
    </w:pPr>
    <w:rPr>
      <w:sz w:val="18"/>
      <w:szCs w:val="18"/>
    </w:rPr>
  </w:style>
  <w:style w:type="paragraph" w:styleId="8">
    <w:name w:val="Title"/>
    <w:basedOn w:val="1"/>
    <w:next w:val="1"/>
    <w:link w:val="13"/>
    <w:qFormat/>
    <w:uiPriority w:val="10"/>
    <w:pPr>
      <w:outlineLvl w:val="0"/>
    </w:pPr>
    <w:rPr>
      <w:rFonts w:eastAsia="楷体" w:cstheme="majorBidi"/>
      <w:bCs/>
      <w:szCs w:val="32"/>
    </w:rPr>
  </w:style>
  <w:style w:type="character" w:customStyle="1" w:styleId="11">
    <w:name w:val="标题 1 字符"/>
    <w:basedOn w:val="9"/>
    <w:link w:val="2"/>
    <w:qFormat/>
    <w:uiPriority w:val="9"/>
    <w:rPr>
      <w:rFonts w:ascii="方正小标宋简体" w:hAnsi="Times New Roman" w:eastAsia="方正小标宋简体"/>
      <w:bCs/>
      <w:kern w:val="44"/>
      <w:sz w:val="44"/>
      <w:szCs w:val="44"/>
    </w:rPr>
  </w:style>
  <w:style w:type="character" w:customStyle="1" w:styleId="12">
    <w:name w:val="标题 2 字符"/>
    <w:basedOn w:val="9"/>
    <w:link w:val="3"/>
    <w:qFormat/>
    <w:uiPriority w:val="9"/>
    <w:rPr>
      <w:rFonts w:ascii="黑体" w:eastAsia="黑体" w:hAnsiTheme="majorHAnsi" w:cstheme="majorBidi"/>
      <w:bCs/>
      <w:sz w:val="32"/>
      <w:szCs w:val="32"/>
    </w:rPr>
  </w:style>
  <w:style w:type="character" w:customStyle="1" w:styleId="13">
    <w:name w:val="标题 字符"/>
    <w:basedOn w:val="9"/>
    <w:link w:val="8"/>
    <w:qFormat/>
    <w:uiPriority w:val="10"/>
    <w:rPr>
      <w:rFonts w:ascii="Times New Roman" w:hAnsi="Times New Roman" w:eastAsia="楷体" w:cstheme="majorBidi"/>
      <w:bCs/>
      <w:sz w:val="32"/>
      <w:szCs w:val="32"/>
    </w:rPr>
  </w:style>
  <w:style w:type="character" w:customStyle="1" w:styleId="14">
    <w:name w:val="页眉 字符"/>
    <w:basedOn w:val="9"/>
    <w:link w:val="7"/>
    <w:semiHidden/>
    <w:qFormat/>
    <w:uiPriority w:val="99"/>
    <w:rPr>
      <w:rFonts w:ascii="Times New Roman" w:hAnsi="Times New Roman" w:eastAsia="仿宋"/>
      <w:sz w:val="18"/>
      <w:szCs w:val="18"/>
    </w:rPr>
  </w:style>
  <w:style w:type="character" w:customStyle="1" w:styleId="15">
    <w:name w:val="页脚 字符"/>
    <w:basedOn w:val="9"/>
    <w:link w:val="6"/>
    <w:semiHidden/>
    <w:qFormat/>
    <w:uiPriority w:val="99"/>
    <w:rPr>
      <w:rFonts w:ascii="Times New Roman" w:hAnsi="Times New Roman" w:eastAsia="仿宋"/>
      <w:sz w:val="18"/>
      <w:szCs w:val="18"/>
    </w:rPr>
  </w:style>
  <w:style w:type="character" w:customStyle="1" w:styleId="16">
    <w:name w:val="标题 3 字符"/>
    <w:basedOn w:val="9"/>
    <w:link w:val="4"/>
    <w:qFormat/>
    <w:uiPriority w:val="9"/>
    <w:rPr>
      <w:rFonts w:ascii="Times New Roman" w:hAnsi="Times New Roman" w:eastAsia="楷体_GB2312"/>
      <w:bCs/>
      <w:sz w:val="32"/>
      <w:szCs w:val="32"/>
    </w:rPr>
  </w:style>
  <w:style w:type="character" w:customStyle="1" w:styleId="17">
    <w:name w:val="标题 4 字符"/>
    <w:basedOn w:val="9"/>
    <w:link w:val="5"/>
    <w:qFormat/>
    <w:uiPriority w:val="9"/>
    <w:rPr>
      <w:rFonts w:ascii="Times New Roman" w:hAnsi="Times New Roman" w:eastAsia="仿宋" w:cstheme="majorBidi"/>
      <w:b/>
      <w:bCs/>
      <w:sz w:val="32"/>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Hundred Acre Wood</Company>
  <Pages>5</Pages>
  <Words>324</Words>
  <Characters>1853</Characters>
  <Lines>15</Lines>
  <Paragraphs>4</Paragraphs>
  <TotalTime>0</TotalTime>
  <ScaleCrop>false</ScaleCrop>
  <LinksUpToDate>false</LinksUpToDate>
  <CharactersWithSpaces>2173</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2024-05-21T22:49:00Z</dcterms:created>
  <dc:creator>梁宵</dc:creator>
  <cp:lastModifiedBy>Administrator</cp:lastModifiedBy>
  <cp:lastPrinted>2025-12-13T17:29:00Z</cp:lastPrinted>
  <dcterms:modified xsi:type="dcterms:W3CDTF">2026-03-16T06:51:28Z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ICV">
    <vt:lpwstr>0E82FA43BF5F42A8B72930882E79B40C_13</vt:lpwstr>
  </property>
</Properties>
</file>